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Elencochiaro-Colore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42"/>
        <w:gridCol w:w="992"/>
        <w:gridCol w:w="1070"/>
      </w:tblGrid>
      <w:tr>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854" w:type="dxa"/>
            <w:gridSpan w:val="4"/>
            <w:tcBorders>
              <w:bottom w:val="single" w:sz="8" w:space="0" w:color="5B9BD5" w:themeColor="accent1"/>
            </w:tcBorders>
            <w:shd w:val="clear" w:color="auto" w:fill="002060"/>
            <w:vAlign w:val="center"/>
          </w:tcPr>
          <w:p>
            <w:pPr>
              <w:pStyle w:val="Titolo1"/>
              <w:outlineLvl w:val="0"/>
            </w:pPr>
            <w:bookmarkStart w:id="0" w:name="_Toc54171250"/>
            <w:bookmarkStart w:id="1" w:name="_GoBack"/>
            <w:r>
              <w:t xml:space="preserve">Check list - Visto di conformità “Superbonus” 110% </w:t>
            </w:r>
            <w:r>
              <w:br/>
              <w:t>su interventi per l’efficienza energetica</w:t>
            </w:r>
            <w:bookmarkEnd w:id="0"/>
          </w:p>
        </w:tc>
      </w:tr>
      <w:bookmarkEnd w:id="1"/>
      <w:tr>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auto"/>
          </w:tcPr>
          <w:p>
            <w:pPr>
              <w:spacing w:line="360" w:lineRule="auto"/>
              <w:jc w:val="center"/>
              <w:rPr>
                <w:rFonts w:cstheme="minorHAnsi"/>
                <w:sz w:val="20"/>
                <w:szCs w:val="20"/>
              </w:rPr>
            </w:pPr>
            <w:r>
              <w:rPr>
                <w:rFonts w:cstheme="minorHAnsi"/>
                <w:sz w:val="20"/>
                <w:szCs w:val="20"/>
              </w:rPr>
              <w:t>BENEFICIARIO</w:t>
            </w:r>
          </w:p>
          <w:p>
            <w:pPr>
              <w:spacing w:line="360" w:lineRule="auto"/>
              <w:rPr>
                <w:rFonts w:cstheme="minorHAnsi"/>
                <w:b w:val="0"/>
                <w:sz w:val="20"/>
                <w:szCs w:val="20"/>
              </w:rPr>
            </w:pPr>
            <w:r>
              <w:rPr>
                <w:rFonts w:cstheme="minorHAnsi"/>
                <w:b w:val="0"/>
                <w:sz w:val="20"/>
                <w:szCs w:val="20"/>
              </w:rPr>
              <w:t>Cognome/Ragione sociale     ________________________________________________</w:t>
            </w:r>
          </w:p>
          <w:p>
            <w:pPr>
              <w:spacing w:line="360" w:lineRule="auto"/>
              <w:rPr>
                <w:rFonts w:cstheme="minorHAnsi"/>
                <w:b w:val="0"/>
                <w:sz w:val="20"/>
                <w:szCs w:val="20"/>
              </w:rPr>
            </w:pPr>
            <w:r>
              <w:rPr>
                <w:rFonts w:cstheme="minorHAnsi"/>
                <w:b w:val="0"/>
                <w:sz w:val="20"/>
                <w:szCs w:val="20"/>
              </w:rPr>
              <w:t>Nome                                        ________________________________________________</w:t>
            </w:r>
          </w:p>
          <w:p>
            <w:pPr>
              <w:spacing w:line="360" w:lineRule="auto"/>
              <w:rPr>
                <w:rFonts w:cstheme="minorHAnsi"/>
                <w:sz w:val="28"/>
                <w:szCs w:val="28"/>
              </w:rPr>
            </w:pPr>
            <w:r>
              <w:rPr>
                <w:rFonts w:cstheme="minorHAnsi"/>
                <w:b w:val="0"/>
                <w:sz w:val="20"/>
                <w:szCs w:val="20"/>
              </w:rPr>
              <w:t>Cod.fiscale                               ________________________________________________</w:t>
            </w:r>
          </w:p>
        </w:tc>
      </w:tr>
      <w:tr>
        <w:trPr>
          <w:trHeight w:val="126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auto"/>
          </w:tcPr>
          <w:p>
            <w:pPr>
              <w:spacing w:line="360" w:lineRule="auto"/>
              <w:jc w:val="center"/>
              <w:rPr>
                <w:rFonts w:cstheme="minorHAnsi"/>
                <w:sz w:val="20"/>
                <w:szCs w:val="20"/>
              </w:rPr>
            </w:pPr>
            <w:r>
              <w:rPr>
                <w:rFonts w:cstheme="minorHAnsi"/>
                <w:sz w:val="20"/>
                <w:szCs w:val="20"/>
              </w:rPr>
              <w:t>SPESE SOSTENUTE</w:t>
            </w:r>
          </w:p>
          <w:p>
            <w:pPr>
              <w:spacing w:line="360" w:lineRule="auto"/>
              <w:rPr>
                <w:rFonts w:cstheme="minorHAnsi"/>
                <w:b w:val="0"/>
                <w:sz w:val="20"/>
                <w:szCs w:val="20"/>
              </w:rPr>
            </w:pPr>
            <w:r>
              <w:rPr>
                <w:rFonts w:cstheme="minorHAnsi"/>
                <w:b w:val="0"/>
                <w:sz w:val="20"/>
                <w:szCs w:val="20"/>
              </w:rPr>
              <w:t>Interventi trainanti        € _____________________</w:t>
            </w:r>
          </w:p>
          <w:p>
            <w:pPr>
              <w:spacing w:line="360" w:lineRule="auto"/>
              <w:rPr>
                <w:rFonts w:cstheme="minorHAnsi"/>
                <w:b w:val="0"/>
                <w:sz w:val="20"/>
                <w:szCs w:val="20"/>
              </w:rPr>
            </w:pPr>
            <w:r>
              <w:rPr>
                <w:rFonts w:cstheme="minorHAnsi"/>
                <w:b w:val="0"/>
                <w:sz w:val="20"/>
                <w:szCs w:val="20"/>
              </w:rPr>
              <w:t>Interventi trainati          € _____________________</w:t>
            </w:r>
          </w:p>
          <w:p>
            <w:pPr>
              <w:spacing w:line="360" w:lineRule="auto"/>
              <w:rPr>
                <w:rFonts w:cstheme="minorHAnsi"/>
                <w:b w:val="0"/>
                <w:sz w:val="20"/>
                <w:szCs w:val="20"/>
              </w:rPr>
            </w:pPr>
            <w:r>
              <w:rPr>
                <w:rFonts w:cstheme="minorHAnsi"/>
                <w:b w:val="0"/>
                <w:sz w:val="20"/>
                <w:szCs w:val="20"/>
              </w:rPr>
              <w:t>Totale spesa</w:t>
            </w:r>
            <w:r>
              <w:rPr>
                <w:rFonts w:cstheme="minorHAnsi"/>
                <w:b w:val="0"/>
                <w:sz w:val="20"/>
                <w:szCs w:val="20"/>
              </w:rPr>
              <w:tab/>
              <w:t xml:space="preserve">           € _____________________</w:t>
            </w:r>
          </w:p>
          <w:p>
            <w:pPr>
              <w:spacing w:line="360" w:lineRule="auto"/>
              <w:rPr>
                <w:rFonts w:cstheme="minorHAnsi"/>
                <w:sz w:val="28"/>
                <w:szCs w:val="28"/>
              </w:rPr>
            </w:pPr>
            <w:r>
              <w:rPr>
                <w:rFonts w:cstheme="minorHAnsi"/>
                <w:sz w:val="20"/>
                <w:szCs w:val="20"/>
              </w:rPr>
              <w:t>TOTALE DETRAZIONI</w:t>
            </w:r>
            <w:r>
              <w:rPr>
                <w:rFonts w:cstheme="minorHAnsi"/>
                <w:b w:val="0"/>
                <w:sz w:val="20"/>
                <w:szCs w:val="20"/>
              </w:rPr>
              <w:t xml:space="preserve">    € _____________________</w:t>
            </w:r>
          </w:p>
        </w:tc>
      </w:tr>
      <w:tr>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auto"/>
          </w:tcPr>
          <w:p>
            <w:pPr>
              <w:spacing w:line="360" w:lineRule="auto"/>
              <w:jc w:val="center"/>
              <w:rPr>
                <w:rFonts w:cstheme="minorHAnsi"/>
                <w:sz w:val="20"/>
                <w:szCs w:val="20"/>
              </w:rPr>
            </w:pPr>
            <w:r>
              <w:rPr>
                <w:rFonts w:cstheme="minorHAnsi"/>
                <w:sz w:val="20"/>
                <w:szCs w:val="20"/>
              </w:rPr>
              <w:t>AMMONTARE CREDITO CEDUTO</w:t>
            </w:r>
          </w:p>
          <w:p>
            <w:pPr>
              <w:spacing w:line="360" w:lineRule="auto"/>
              <w:rPr>
                <w:rFonts w:cstheme="minorHAnsi"/>
                <w:b w:val="0"/>
                <w:sz w:val="20"/>
                <w:szCs w:val="20"/>
              </w:rPr>
            </w:pPr>
            <w:r>
              <w:rPr>
                <w:rFonts w:cstheme="minorHAnsi"/>
                <w:b w:val="0"/>
                <w:sz w:val="20"/>
                <w:szCs w:val="20"/>
              </w:rPr>
              <w:t>I°/SAL UNICO € _________________</w:t>
            </w:r>
          </w:p>
          <w:p>
            <w:pPr>
              <w:spacing w:line="360" w:lineRule="auto"/>
              <w:rPr>
                <w:rFonts w:cstheme="minorHAnsi"/>
                <w:b w:val="0"/>
                <w:sz w:val="20"/>
                <w:szCs w:val="20"/>
              </w:rPr>
            </w:pPr>
            <w:r>
              <w:rPr>
                <w:rFonts w:cstheme="minorHAnsi"/>
                <w:b w:val="0"/>
                <w:sz w:val="20"/>
                <w:szCs w:val="20"/>
              </w:rPr>
              <w:t>II° SAL             € _________________</w:t>
            </w:r>
          </w:p>
          <w:p>
            <w:pPr>
              <w:rPr>
                <w:rFonts w:cstheme="minorHAnsi"/>
                <w:sz w:val="28"/>
                <w:szCs w:val="28"/>
              </w:rPr>
            </w:pPr>
            <w:r>
              <w:rPr>
                <w:rFonts w:cstheme="minorHAnsi"/>
                <w:b w:val="0"/>
                <w:sz w:val="20"/>
                <w:szCs w:val="20"/>
              </w:rPr>
              <w:t>III° SAL             € _________________</w:t>
            </w:r>
          </w:p>
        </w:tc>
      </w:tr>
      <w:tr>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Soggetto beneficiario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Mar>
              <w:top w:w="28" w:type="dxa"/>
              <w:left w:w="57" w:type="dxa"/>
              <w:bottom w:w="28"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Condominio</w:t>
            </w:r>
          </w:p>
        </w:tc>
        <w:tc>
          <w:tcPr>
            <w:tcW w:w="1134" w:type="dxa"/>
            <w:gridSpan w:val="2"/>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0" w:type="dxa"/>
            <w:tcMar>
              <w:top w:w="28" w:type="dxa"/>
              <w:left w:w="57" w:type="dxa"/>
              <w:bottom w:w="28" w:type="dxa"/>
              <w:right w:w="57" w:type="dxa"/>
            </w:tcMar>
          </w:tcPr>
          <w:p>
            <w:pPr>
              <w:pStyle w:val="Paragrafoelenco"/>
              <w:numPr>
                <w:ilvl w:val="0"/>
                <w:numId w:val="26"/>
              </w:numPr>
              <w:spacing w:after="0" w:line="240" w:lineRule="auto"/>
              <w:ind w:left="426" w:hanging="426"/>
              <w:jc w:val="both"/>
              <w:rPr>
                <w:rFonts w:cstheme="minorHAnsi"/>
                <w:b w:val="0"/>
                <w:sz w:val="20"/>
                <w:szCs w:val="20"/>
              </w:rPr>
            </w:pPr>
            <w:r>
              <w:rPr>
                <w:rFonts w:cstheme="minorHAnsi"/>
                <w:b w:val="0"/>
                <w:sz w:val="20"/>
                <w:szCs w:val="20"/>
              </w:rPr>
              <w:t>Persona fisica</w:t>
            </w:r>
          </w:p>
        </w:tc>
        <w:tc>
          <w:tcPr>
            <w:tcW w:w="1134" w:type="dxa"/>
            <w:gridSpan w:val="2"/>
            <w:vAlign w:val="center"/>
          </w:tcPr>
          <w:p>
            <w:pPr>
              <w:pStyle w:val="Paragrafoelenco"/>
              <w:spacing w:after="0" w:line="240" w:lineRule="auto"/>
              <w:ind w:left="107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0" w:type="dxa"/>
            <w:vAlign w:val="center"/>
          </w:tcPr>
          <w:p>
            <w:pPr>
              <w:pStyle w:val="Paragrafoelenco"/>
              <w:spacing w:after="0" w:line="240" w:lineRule="auto"/>
              <w:ind w:left="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Mar>
              <w:top w:w="28" w:type="dxa"/>
              <w:left w:w="57" w:type="dxa"/>
              <w:bottom w:w="28" w:type="dxa"/>
              <w:right w:w="57" w:type="dxa"/>
            </w:tcMar>
          </w:tcPr>
          <w:p>
            <w:pPr>
              <w:pStyle w:val="Paragrafoelenco"/>
              <w:numPr>
                <w:ilvl w:val="0"/>
                <w:numId w:val="24"/>
              </w:numPr>
              <w:spacing w:after="0" w:line="240" w:lineRule="auto"/>
              <w:jc w:val="both"/>
              <w:rPr>
                <w:rFonts w:cstheme="minorHAnsi"/>
                <w:b w:val="0"/>
                <w:sz w:val="20"/>
                <w:szCs w:val="20"/>
              </w:rPr>
            </w:pPr>
            <w:r>
              <w:rPr>
                <w:rFonts w:cstheme="minorHAnsi"/>
                <w:b w:val="0"/>
                <w:sz w:val="20"/>
                <w:szCs w:val="20"/>
              </w:rPr>
              <w:t>Proprietario</w:t>
            </w:r>
          </w:p>
        </w:tc>
        <w:tc>
          <w:tcPr>
            <w:tcW w:w="1134" w:type="dxa"/>
            <w:gridSpan w:val="2"/>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0" w:type="dxa"/>
            <w:tcMar>
              <w:top w:w="28" w:type="dxa"/>
              <w:left w:w="57" w:type="dxa"/>
              <w:bottom w:w="28" w:type="dxa"/>
              <w:right w:w="57" w:type="dxa"/>
            </w:tcMar>
          </w:tcPr>
          <w:p>
            <w:pPr>
              <w:pStyle w:val="Paragrafoelenco"/>
              <w:numPr>
                <w:ilvl w:val="0"/>
                <w:numId w:val="24"/>
              </w:numPr>
              <w:spacing w:after="0" w:line="240" w:lineRule="auto"/>
              <w:jc w:val="both"/>
              <w:rPr>
                <w:rFonts w:cstheme="minorHAnsi"/>
                <w:b w:val="0"/>
                <w:sz w:val="20"/>
                <w:szCs w:val="20"/>
              </w:rPr>
            </w:pPr>
            <w:r>
              <w:rPr>
                <w:rFonts w:cstheme="minorHAnsi"/>
                <w:b w:val="0"/>
                <w:sz w:val="20"/>
                <w:szCs w:val="20"/>
              </w:rPr>
              <w:t>Detentore</w:t>
            </w:r>
          </w:p>
        </w:tc>
        <w:tc>
          <w:tcPr>
            <w:tcW w:w="1134" w:type="dxa"/>
            <w:gridSpan w:val="2"/>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Mar>
              <w:top w:w="28" w:type="dxa"/>
              <w:left w:w="57" w:type="dxa"/>
              <w:bottom w:w="28" w:type="dxa"/>
              <w:right w:w="57" w:type="dxa"/>
            </w:tcMar>
          </w:tcPr>
          <w:p>
            <w:pPr>
              <w:pStyle w:val="Paragrafoelenco"/>
              <w:numPr>
                <w:ilvl w:val="0"/>
                <w:numId w:val="24"/>
              </w:numPr>
              <w:spacing w:after="0" w:line="240" w:lineRule="auto"/>
              <w:jc w:val="both"/>
              <w:rPr>
                <w:rFonts w:cstheme="minorHAnsi"/>
                <w:b w:val="0"/>
                <w:sz w:val="20"/>
                <w:szCs w:val="20"/>
              </w:rPr>
            </w:pPr>
            <w:r>
              <w:rPr>
                <w:rFonts w:cstheme="minorHAnsi"/>
                <w:b w:val="0"/>
                <w:sz w:val="20"/>
                <w:szCs w:val="20"/>
              </w:rPr>
              <w:t xml:space="preserve">Familiare convivente   </w:t>
            </w:r>
          </w:p>
        </w:tc>
        <w:tc>
          <w:tcPr>
            <w:tcW w:w="1134" w:type="dxa"/>
            <w:gridSpan w:val="2"/>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0" w:type="dxa"/>
            <w:tcMar>
              <w:top w:w="0" w:type="dxa"/>
              <w:left w:w="57" w:type="dxa"/>
              <w:bottom w:w="0"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IACP o assimilati</w:t>
            </w:r>
          </w:p>
        </w:tc>
        <w:tc>
          <w:tcPr>
            <w:tcW w:w="1134" w:type="dxa"/>
            <w:gridSpan w:val="2"/>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Mar>
              <w:top w:w="0" w:type="dxa"/>
              <w:left w:w="57" w:type="dxa"/>
              <w:bottom w:w="0"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Cooperativa di abitazione a proprietà indivisa</w:t>
            </w:r>
          </w:p>
        </w:tc>
        <w:tc>
          <w:tcPr>
            <w:tcW w:w="1134" w:type="dxa"/>
            <w:gridSpan w:val="2"/>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0" w:type="dxa"/>
            <w:tcMar>
              <w:top w:w="0" w:type="dxa"/>
              <w:left w:w="57" w:type="dxa"/>
              <w:bottom w:w="0"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 xml:space="preserve">ONLUS </w:t>
            </w:r>
          </w:p>
        </w:tc>
        <w:tc>
          <w:tcPr>
            <w:tcW w:w="1134" w:type="dxa"/>
            <w:gridSpan w:val="2"/>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Mar>
              <w:top w:w="0" w:type="dxa"/>
              <w:left w:w="57" w:type="dxa"/>
              <w:bottom w:w="0"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Organizzazione di volontariato</w:t>
            </w:r>
          </w:p>
        </w:tc>
        <w:tc>
          <w:tcPr>
            <w:tcW w:w="1134" w:type="dxa"/>
            <w:gridSpan w:val="2"/>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0" w:type="dxa"/>
            <w:tcMar>
              <w:top w:w="0" w:type="dxa"/>
              <w:left w:w="57" w:type="dxa"/>
              <w:bottom w:w="0"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 xml:space="preserve">Associazione di promozione sociale </w:t>
            </w:r>
          </w:p>
        </w:tc>
        <w:tc>
          <w:tcPr>
            <w:tcW w:w="1134" w:type="dxa"/>
            <w:gridSpan w:val="2"/>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Mar>
              <w:top w:w="0" w:type="dxa"/>
              <w:left w:w="57" w:type="dxa"/>
              <w:bottom w:w="0"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 xml:space="preserve">ASD o SSD </w:t>
            </w:r>
          </w:p>
        </w:tc>
        <w:tc>
          <w:tcPr>
            <w:tcW w:w="1134" w:type="dxa"/>
            <w:gridSpan w:val="2"/>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0" w:type="dxa"/>
            <w:tcMar>
              <w:top w:w="0" w:type="dxa"/>
              <w:left w:w="57" w:type="dxa"/>
              <w:bottom w:w="0" w:type="dxa"/>
              <w:right w:w="57" w:type="dxa"/>
            </w:tcMar>
          </w:tcPr>
          <w:p>
            <w:pPr>
              <w:pStyle w:val="Paragrafoelenco"/>
              <w:numPr>
                <w:ilvl w:val="0"/>
                <w:numId w:val="8"/>
              </w:numPr>
              <w:spacing w:after="0" w:line="240" w:lineRule="auto"/>
              <w:ind w:left="284" w:hanging="284"/>
              <w:jc w:val="both"/>
              <w:rPr>
                <w:b w:val="0"/>
              </w:rPr>
            </w:pPr>
            <w:r>
              <w:rPr>
                <w:rFonts w:cstheme="minorHAnsi"/>
                <w:b w:val="0"/>
                <w:sz w:val="20"/>
                <w:szCs w:val="20"/>
              </w:rPr>
              <w:t xml:space="preserve">Comunità energetiche rinnovabili  </w:t>
            </w:r>
          </w:p>
        </w:tc>
        <w:tc>
          <w:tcPr>
            <w:tcW w:w="1134" w:type="dxa"/>
            <w:gridSpan w:val="2"/>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pPr>
              <w:tabs>
                <w:tab w:val="center" w:pos="4819"/>
                <w:tab w:val="left" w:pos="7532"/>
              </w:tabs>
              <w:spacing w:after="0" w:line="240" w:lineRule="auto"/>
              <w:rPr>
                <w:rFonts w:cstheme="minorHAnsi"/>
                <w:sz w:val="20"/>
                <w:szCs w:val="20"/>
              </w:rPr>
            </w:pPr>
            <w:r>
              <w:rPr>
                <w:rFonts w:cstheme="minorHAnsi"/>
                <w:sz w:val="20"/>
                <w:szCs w:val="20"/>
              </w:rPr>
              <w:tab/>
              <w:t>Dati relativi all’immobile e relative imposte comunali</w:t>
            </w:r>
            <w:r>
              <w:rPr>
                <w:rFonts w:cstheme="minorHAnsi"/>
                <w:sz w:val="20"/>
                <w:szCs w:val="20"/>
              </w:rPr>
              <w:tab/>
            </w:r>
          </w:p>
        </w:tc>
      </w:tr>
      <w:tr>
        <w:tc>
          <w:tcPr>
            <w:cnfStyle w:val="001000000000" w:firstRow="0" w:lastRow="0" w:firstColumn="1" w:lastColumn="0" w:oddVBand="0" w:evenVBand="0" w:oddHBand="0" w:evenHBand="0" w:firstRowFirstColumn="0" w:firstRowLastColumn="0" w:lastRowFirstColumn="0" w:lastRowLastColumn="0"/>
            <w:tcW w:w="7650" w:type="dxa"/>
            <w:tcMar>
              <w:left w:w="57" w:type="dxa"/>
              <w:right w:w="57" w:type="dxa"/>
            </w:tcMar>
            <w:vAlign w:val="cente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 xml:space="preserve">Visura catastale     </w:t>
            </w:r>
          </w:p>
        </w:tc>
        <w:tc>
          <w:tcPr>
            <w:tcW w:w="1134" w:type="dxa"/>
            <w:gridSpan w:val="2"/>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Mar>
              <w:left w:w="57" w:type="dxa"/>
              <w:right w:w="57" w:type="dxa"/>
            </w:tcMar>
            <w:vAlign w:val="cente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Domanda di accatastamento (solo per gli immobili non ancora censiti)</w:t>
            </w:r>
          </w:p>
        </w:tc>
        <w:tc>
          <w:tcPr>
            <w:tcW w:w="1134" w:type="dxa"/>
            <w:gridSpan w:val="2"/>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0" w:type="dxa"/>
            <w:tcMar>
              <w:left w:w="57" w:type="dxa"/>
              <w:right w:w="57" w:type="dxa"/>
            </w:tcMar>
            <w:vAlign w:val="cente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Ricevute di pagamento dell’imposta comunale sugli immobili (se dovuta)</w:t>
            </w:r>
          </w:p>
        </w:tc>
        <w:tc>
          <w:tcPr>
            <w:tcW w:w="1134" w:type="dxa"/>
            <w:gridSpan w:val="2"/>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lastRenderedPageBreak/>
              <w:t>Documentazione attestante la proprietà o disponibilità dell’immobile</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Atto di acquisto o certificato catastale</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Contratto di locazione</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Contratto di comodato</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Certificato dello stato di famiglia o autocertificazione (familiare convivente)</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Copia successione</w:t>
            </w:r>
            <w:r>
              <w:rPr>
                <w:rStyle w:val="Rimandonotaapidipagina"/>
                <w:rFonts w:cstheme="minorHAnsi"/>
                <w:b w:val="0"/>
                <w:sz w:val="20"/>
                <w:szCs w:val="20"/>
              </w:rPr>
              <w:footnoteReference w:id="1"/>
            </w:r>
            <w:r>
              <w:rPr>
                <w:rFonts w:cstheme="minorHAnsi"/>
                <w:b w:val="0"/>
                <w:sz w:val="20"/>
                <w:szCs w:val="20"/>
              </w:rPr>
              <w:t xml:space="preserve"> e autocertificazione attestante la disponibilità e detenzione materiale e diretta dell’immobile (erede)</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Copia verbale CDA di accettazione della domanda di assegnazione (socio cooperativa indivisa)</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Copia sentenza di separazione</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Copia preliminare di acquisto con immissione in possesso</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Consenso all’esecuzione dei lavori da parte del proprietario (per tutti i detentori diversi da familiari conviventi)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b w:val="0"/>
              </w:rPr>
            </w:pPr>
            <w:r>
              <w:rPr>
                <w:rFonts w:cstheme="minorHAnsi"/>
                <w:b w:val="0"/>
                <w:sz w:val="20"/>
                <w:szCs w:val="20"/>
              </w:rPr>
              <w:t>Copia atto di cessione dell’immobile con previsione di mantenimento del diritto alla detrazione in capo al cedente</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Parti comuni (condominio)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 xml:space="preserve">Copia della delibera assembleare e della tabella millesimale di ripartizione delle spese ovvero Certificazione dell’amministratore di condominio </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rPr>
          <w:trHeight w:hRule="exact" w:val="397"/>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vAlign w:val="center"/>
          </w:tcPr>
          <w:p>
            <w:pPr>
              <w:pStyle w:val="Paragrafoelenco"/>
              <w:numPr>
                <w:ilvl w:val="0"/>
                <w:numId w:val="25"/>
              </w:numPr>
              <w:spacing w:after="0" w:line="240" w:lineRule="auto"/>
              <w:ind w:left="425" w:hanging="425"/>
              <w:contextualSpacing w:val="0"/>
              <w:jc w:val="both"/>
              <w:rPr>
                <w:rFonts w:cstheme="minorHAnsi"/>
                <w:b w:val="0"/>
                <w:sz w:val="20"/>
                <w:szCs w:val="20"/>
              </w:rPr>
            </w:pPr>
            <w:r>
              <w:rPr>
                <w:rFonts w:cstheme="minorHAnsi"/>
                <w:b w:val="0"/>
                <w:sz w:val="20"/>
                <w:szCs w:val="20"/>
              </w:rPr>
              <w:t>Condominio minimo</w:t>
            </w:r>
          </w:p>
        </w:tc>
        <w:tc>
          <w:tcPr>
            <w:tcW w:w="992" w:type="dxa"/>
            <w:shd w:val="clear" w:color="auto" w:fill="FFFFFF" w:themeFill="background1"/>
            <w:vAlign w:val="center"/>
          </w:tcPr>
          <w:p>
            <w:pPr>
              <w:pStyle w:val="Paragrafoelenco"/>
              <w:spacing w:after="0" w:line="240" w:lineRule="auto"/>
              <w:ind w:left="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0" w:type="dxa"/>
            <w:shd w:val="clear" w:color="auto" w:fill="FFFFFF" w:themeFill="background1"/>
            <w:vAlign w:val="center"/>
          </w:tcPr>
          <w:p>
            <w:pPr>
              <w:pStyle w:val="Paragrafoelenco"/>
              <w:spacing w:after="0" w:line="240" w:lineRule="auto"/>
              <w:ind w:left="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22"/>
              </w:numPr>
              <w:spacing w:after="0" w:line="240" w:lineRule="auto"/>
              <w:ind w:left="851" w:hanging="425"/>
              <w:jc w:val="both"/>
              <w:rPr>
                <w:rFonts w:cstheme="minorHAnsi"/>
                <w:b w:val="0"/>
                <w:sz w:val="20"/>
                <w:szCs w:val="20"/>
              </w:rPr>
            </w:pPr>
            <w:r>
              <w:rPr>
                <w:rFonts w:cstheme="minorHAnsi"/>
                <w:b w:val="0"/>
                <w:sz w:val="20"/>
                <w:szCs w:val="20"/>
              </w:rPr>
              <w:t>Delibera assembleare dei condòmini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23"/>
              </w:numPr>
              <w:spacing w:after="0" w:line="240" w:lineRule="auto"/>
              <w:ind w:left="851" w:hanging="425"/>
              <w:jc w:val="both"/>
              <w:rPr>
                <w:rFonts w:cstheme="minorHAnsi"/>
                <w:b w:val="0"/>
                <w:sz w:val="20"/>
                <w:szCs w:val="20"/>
              </w:rPr>
            </w:pPr>
            <w:r>
              <w:rPr>
                <w:rFonts w:cstheme="minorHAnsi"/>
                <w:b w:val="0"/>
                <w:sz w:val="20"/>
                <w:szCs w:val="20"/>
              </w:rPr>
              <w:t>Autocertificazione attestante la natura dei lavori eseguiti e i dati catastali delle unità immobiliari facenti parte del condominio</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Altre autocertificazioni</w:t>
            </w:r>
            <w:r>
              <w:rPr>
                <w:rStyle w:val="Rimandonotaapidipagina"/>
                <w:rFonts w:cstheme="minorHAnsi"/>
                <w:sz w:val="20"/>
                <w:szCs w:val="20"/>
              </w:rPr>
              <w:footnoteReference w:id="2"/>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Autocertificazione attestante il rispetto del limite massimo di detrazione tra gli aventi diritto</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 xml:space="preserve">Autocertificazione attestante la presenza o meno di altri contributi per gli stessi interventi </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Autocertificazione attestante che l’immobile oggetto di intervento non è utilizzato nell’ambito di attività d’impresa o professionale</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 xml:space="preserve">Autocertificazione attestante la presenza di reddito nell’anno precedente il sostenimento della spesa </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8"/>
              </w:numPr>
              <w:spacing w:after="0" w:line="240" w:lineRule="auto"/>
              <w:ind w:left="284" w:hanging="284"/>
              <w:jc w:val="both"/>
              <w:rPr>
                <w:b w:val="0"/>
              </w:rPr>
            </w:pPr>
            <w:r>
              <w:rPr>
                <w:rFonts w:cstheme="minorHAnsi"/>
                <w:b w:val="0"/>
                <w:sz w:val="20"/>
                <w:szCs w:val="20"/>
              </w:rPr>
              <w:t>Autocertificazione attestante l’assenza/la presenza di interventi della stessa natura sullo stesso immobile che rappresentano mera prosecuzione di interventi iniziati in anni precedenti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8"/>
              </w:numPr>
              <w:spacing w:after="0" w:line="240" w:lineRule="auto"/>
              <w:ind w:left="284" w:hanging="284"/>
              <w:jc w:val="both"/>
              <w:rPr>
                <w:rFonts w:cstheme="minorHAnsi"/>
                <w:sz w:val="20"/>
                <w:szCs w:val="20"/>
              </w:rPr>
            </w:pPr>
            <w:r>
              <w:rPr>
                <w:rFonts w:cstheme="minorHAnsi"/>
                <w:b w:val="0"/>
                <w:sz w:val="20"/>
                <w:szCs w:val="20"/>
              </w:rPr>
              <w:t xml:space="preserve">Autocertificazione attestante l’assenza/presenza di interventi su altre unità immobiliari </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Abilitazioni amministrative, comunicazioni, relazioni e attestazioni tecniche richieste dalla vigente legislazione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Comunicazione Inizio Lavori (CIL o CILA) con ricevuta di deposito</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Segnalazione certificata di inizio attività (Scia) con ricevuta di deposito</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Altro _____________________</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Dichiarazione sostitutiva dell’atto di notorietà resa dal contribuente in cui sia indicata la data di inizio dei lavori ed attestata la circostanza che gli interventi posti in essere rientrano tra quelli agevolabili e che i medesimi non necessitano di alcun titolo abilitativo ai sensi della normativa edilizia vigente</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Ricevuta di spedizione della comunicazione preventiva inizio lavori all’ASL di competenza</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top w:w="28" w:type="dxa"/>
              <w:left w:w="57" w:type="dxa"/>
              <w:bottom w:w="28" w:type="dxa"/>
              <w:right w:w="57" w:type="dxa"/>
            </w:tcMar>
          </w:tcPr>
          <w:p>
            <w:pPr>
              <w:pStyle w:val="Paragrafoelenco"/>
              <w:numPr>
                <w:ilvl w:val="0"/>
                <w:numId w:val="8"/>
              </w:numPr>
              <w:spacing w:after="0" w:line="240" w:lineRule="auto"/>
              <w:ind w:left="284" w:hanging="284"/>
              <w:jc w:val="both"/>
              <w:rPr>
                <w:b w:val="0"/>
              </w:rPr>
            </w:pPr>
            <w:r>
              <w:rPr>
                <w:rFonts w:cstheme="minorHAnsi"/>
                <w:b w:val="0"/>
                <w:sz w:val="20"/>
                <w:szCs w:val="20"/>
              </w:rPr>
              <w:t xml:space="preserve">Relazione tecnica </w:t>
            </w:r>
            <w:r>
              <w:rPr>
                <w:rFonts w:cstheme="minorHAnsi"/>
                <w:b w:val="0"/>
                <w:bCs w:val="0"/>
                <w:i/>
                <w:iCs/>
                <w:sz w:val="20"/>
                <w:szCs w:val="20"/>
              </w:rPr>
              <w:t>ex</w:t>
            </w:r>
            <w:r>
              <w:rPr>
                <w:rFonts w:cstheme="minorHAnsi"/>
                <w:b w:val="0"/>
                <w:sz w:val="20"/>
                <w:szCs w:val="20"/>
              </w:rPr>
              <w:t xml:space="preserve"> articolo 28 della legge n. 10/1991, articolo 8, comma 1, del d.lgs n. 192/2005 e successive modificazioni, con ricevuta di presentazione presso lo sportello unico competente </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pPr>
              <w:spacing w:after="0" w:line="240" w:lineRule="auto"/>
              <w:jc w:val="center"/>
              <w:outlineLvl w:val="2"/>
              <w:rPr>
                <w:rFonts w:cstheme="minorHAnsi"/>
                <w:sz w:val="20"/>
                <w:szCs w:val="20"/>
              </w:rPr>
            </w:pPr>
            <w:r>
              <w:rPr>
                <w:rFonts w:cstheme="minorHAnsi"/>
                <w:sz w:val="20"/>
                <w:szCs w:val="20"/>
              </w:rPr>
              <w:lastRenderedPageBreak/>
              <w:t>Documenti di spesa e relativi pagamenti</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Fatture e relativi bonifici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Oneri di urbanizzazione</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Imposta di bollo</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Altro __________________________</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Altro __________________________</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Altro __________________________</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Tipologia di intervento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spacing w:after="60" w:line="240" w:lineRule="auto"/>
              <w:jc w:val="both"/>
              <w:rPr>
                <w:rFonts w:cstheme="minorHAnsi"/>
                <w:b w:val="0"/>
                <w:sz w:val="20"/>
                <w:szCs w:val="20"/>
              </w:rPr>
            </w:pPr>
            <w:r>
              <w:rPr>
                <w:rFonts w:cstheme="minorHAnsi"/>
                <w:b w:val="0"/>
                <w:sz w:val="20"/>
                <w:szCs w:val="20"/>
              </w:rPr>
              <w:t>Interventi trainanti (vedi Tabella A)</w:t>
            </w:r>
          </w:p>
          <w:p>
            <w:pPr>
              <w:pStyle w:val="Paragrafoelenco"/>
              <w:numPr>
                <w:ilvl w:val="0"/>
                <w:numId w:val="1"/>
              </w:numPr>
              <w:spacing w:after="0" w:line="240" w:lineRule="auto"/>
              <w:ind w:left="284" w:hanging="284"/>
              <w:jc w:val="both"/>
              <w:rPr>
                <w:rFonts w:cstheme="minorHAnsi"/>
                <w:b w:val="0"/>
                <w:sz w:val="20"/>
                <w:szCs w:val="20"/>
              </w:rPr>
            </w:pPr>
            <w:r>
              <w:rPr>
                <w:rFonts w:cstheme="minorHAnsi"/>
                <w:b w:val="0"/>
                <w:sz w:val="20"/>
                <w:szCs w:val="20"/>
              </w:rPr>
              <w:t>Isolamento termico delle superfici opache verticali, orizzontali e inclinate</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28"/>
              </w:numPr>
              <w:spacing w:after="0" w:line="240" w:lineRule="auto"/>
              <w:jc w:val="both"/>
              <w:rPr>
                <w:rFonts w:cstheme="minorHAnsi"/>
                <w:b w:val="0"/>
                <w:sz w:val="20"/>
                <w:szCs w:val="20"/>
              </w:rPr>
            </w:pPr>
            <w:r>
              <w:rPr>
                <w:rFonts w:cstheme="minorHAnsi"/>
                <w:b w:val="0"/>
                <w:sz w:val="20"/>
                <w:szCs w:val="20"/>
              </w:rPr>
              <w:t>Su parti comuni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28"/>
              </w:numPr>
              <w:spacing w:after="0" w:line="240" w:lineRule="auto"/>
              <w:jc w:val="both"/>
              <w:rPr>
                <w:rFonts w:cstheme="minorHAnsi"/>
                <w:b w:val="0"/>
                <w:sz w:val="20"/>
                <w:szCs w:val="20"/>
              </w:rPr>
            </w:pPr>
            <w:r>
              <w:rPr>
                <w:rFonts w:cstheme="minorHAnsi"/>
                <w:b w:val="0"/>
                <w:sz w:val="20"/>
                <w:szCs w:val="20"/>
              </w:rPr>
              <w:t>Su edifici unifamiliari o plurifamiliari indipendenti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1"/>
              </w:numPr>
              <w:spacing w:after="0" w:line="240" w:lineRule="auto"/>
              <w:ind w:left="284" w:hanging="284"/>
              <w:jc w:val="both"/>
              <w:rPr>
                <w:rFonts w:cstheme="minorHAnsi"/>
                <w:b w:val="0"/>
                <w:sz w:val="20"/>
                <w:szCs w:val="20"/>
              </w:rPr>
            </w:pPr>
            <w:r>
              <w:rPr>
                <w:rFonts w:cstheme="minorHAnsi"/>
                <w:b w:val="0"/>
                <w:sz w:val="20"/>
                <w:szCs w:val="20"/>
              </w:rPr>
              <w:t>Sostituzione degli impianti di climatizzazione invernale</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29"/>
              </w:numPr>
              <w:spacing w:after="0" w:line="240" w:lineRule="auto"/>
              <w:jc w:val="both"/>
              <w:rPr>
                <w:rFonts w:cstheme="minorHAnsi"/>
                <w:b w:val="0"/>
                <w:sz w:val="20"/>
                <w:szCs w:val="20"/>
              </w:rPr>
            </w:pPr>
            <w:r>
              <w:rPr>
                <w:rFonts w:cstheme="minorHAnsi"/>
                <w:b w:val="0"/>
                <w:sz w:val="20"/>
                <w:szCs w:val="20"/>
              </w:rPr>
              <w:t>Su parti comuni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29"/>
              </w:numPr>
              <w:spacing w:after="0" w:line="240" w:lineRule="auto"/>
              <w:jc w:val="both"/>
              <w:rPr>
                <w:rFonts w:cstheme="minorHAnsi"/>
                <w:b w:val="0"/>
                <w:sz w:val="20"/>
                <w:szCs w:val="20"/>
              </w:rPr>
            </w:pPr>
            <w:r>
              <w:rPr>
                <w:rFonts w:cstheme="minorHAnsi"/>
                <w:b w:val="0"/>
                <w:sz w:val="20"/>
                <w:szCs w:val="20"/>
              </w:rPr>
              <w:t>Su edifici unifamiliari o plurifamiliari indipendenti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spacing w:after="60" w:line="240" w:lineRule="auto"/>
              <w:jc w:val="both"/>
              <w:rPr>
                <w:rFonts w:cstheme="minorHAnsi"/>
                <w:b w:val="0"/>
                <w:sz w:val="20"/>
                <w:szCs w:val="20"/>
              </w:rPr>
            </w:pPr>
            <w:r>
              <w:rPr>
                <w:rFonts w:cstheme="minorHAnsi"/>
                <w:b w:val="0"/>
                <w:sz w:val="20"/>
                <w:szCs w:val="20"/>
              </w:rPr>
              <w:t>Interventi trainati (vedi Tabella B)</w:t>
            </w:r>
          </w:p>
          <w:p>
            <w:pPr>
              <w:pStyle w:val="Paragrafoelenco"/>
              <w:numPr>
                <w:ilvl w:val="0"/>
                <w:numId w:val="17"/>
              </w:numPr>
              <w:spacing w:after="0" w:line="240" w:lineRule="auto"/>
              <w:ind w:left="284" w:hanging="284"/>
              <w:jc w:val="both"/>
              <w:rPr>
                <w:rFonts w:cstheme="minorHAnsi"/>
                <w:b w:val="0"/>
                <w:sz w:val="20"/>
                <w:szCs w:val="20"/>
              </w:rPr>
            </w:pPr>
            <w:r>
              <w:rPr>
                <w:rFonts w:cstheme="minorHAnsi"/>
                <w:b w:val="0"/>
                <w:sz w:val="20"/>
                <w:szCs w:val="20"/>
              </w:rPr>
              <w:t>Efficientamento energetico ex articolo 14 del d.l. n. 63 del 2013 (compresi infissi)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30"/>
              </w:numPr>
              <w:spacing w:after="0" w:line="240" w:lineRule="auto"/>
              <w:jc w:val="both"/>
              <w:rPr>
                <w:rFonts w:cstheme="minorHAnsi"/>
                <w:b w:val="0"/>
                <w:sz w:val="20"/>
                <w:szCs w:val="20"/>
              </w:rPr>
            </w:pPr>
            <w:r>
              <w:rPr>
                <w:rFonts w:cstheme="minorHAnsi"/>
                <w:b w:val="0"/>
                <w:sz w:val="20"/>
                <w:szCs w:val="20"/>
              </w:rPr>
              <w:t>Su parti comuni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30"/>
              </w:numPr>
              <w:spacing w:after="0" w:line="240" w:lineRule="auto"/>
              <w:jc w:val="both"/>
              <w:rPr>
                <w:rFonts w:cstheme="minorHAnsi"/>
                <w:b w:val="0"/>
                <w:sz w:val="20"/>
                <w:szCs w:val="20"/>
              </w:rPr>
            </w:pPr>
            <w:r>
              <w:rPr>
                <w:rFonts w:cstheme="minorHAnsi"/>
                <w:b w:val="0"/>
                <w:sz w:val="20"/>
                <w:szCs w:val="20"/>
              </w:rPr>
              <w:t>Su edifici unifamiliari o plurifamiliari indipendenti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 xml:space="preserve">Installazione di impianti solari fotovoltaici </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Sistemi di accumulo integrati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b w:val="0"/>
              </w:rPr>
            </w:pPr>
            <w:r>
              <w:rPr>
                <w:rFonts w:cstheme="minorHAnsi"/>
                <w:b w:val="0"/>
                <w:sz w:val="20"/>
                <w:szCs w:val="20"/>
              </w:rPr>
              <w:t>Infrastrutture per la ricarica di veicoli elettrici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4"/>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Asseverazioni e attestazioni intermedie (SAL)</w:t>
            </w:r>
          </w:p>
        </w:tc>
      </w:tr>
      <w:t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Asseverazione dei requisiti tecnici e attestazione della congruità delle spese sostenute con ricevuta di trasmissione all’Enea</w:t>
            </w:r>
            <w:r>
              <w:rPr>
                <w:rStyle w:val="Rimandonotaapidipagina"/>
                <w:rFonts w:cstheme="minorHAnsi"/>
                <w:b w:val="0"/>
                <w:sz w:val="20"/>
                <w:szCs w:val="20"/>
              </w:rPr>
              <w:footnoteReference w:id="3"/>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pacing w:val="-8"/>
                <w:sz w:val="20"/>
                <w:szCs w:val="20"/>
              </w:rPr>
            </w:pPr>
            <w:r>
              <w:rPr>
                <w:rFonts w:cstheme="minorHAnsi"/>
                <w:b w:val="0"/>
                <w:spacing w:val="-8"/>
                <w:sz w:val="20"/>
                <w:szCs w:val="20"/>
              </w:rPr>
              <w:t>Polizza RC del tecnico sottoscrittore dell’asseverazione e dell’attestazione di cui al punto precedente</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bl>
    <w:tbl>
      <w:tblPr>
        <w:tblStyle w:val="Elencochiaro-Colore1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992"/>
        <w:gridCol w:w="107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color w:val="auto"/>
                <w:spacing w:val="-6"/>
                <w:sz w:val="20"/>
                <w:szCs w:val="20"/>
              </w:rPr>
            </w:pPr>
            <w:r>
              <w:rPr>
                <w:rFonts w:cstheme="minorHAnsi"/>
                <w:b w:val="0"/>
                <w:color w:val="auto"/>
                <w:spacing w:val="-6"/>
                <w:sz w:val="20"/>
                <w:szCs w:val="20"/>
              </w:rPr>
              <w:t>Autocertificazione attestante che lo Stato di Avanzamento dei Lavori si riferisce ad almeno il 30% dell’intervento previsto e che per lo stesso intervento non è stato superato il limite di due SAL</w:t>
            </w:r>
            <w:r>
              <w:rPr>
                <w:rStyle w:val="Rimandonotaapidipagina"/>
                <w:rFonts w:cstheme="minorHAnsi"/>
                <w:b w:val="0"/>
                <w:color w:val="auto"/>
                <w:spacing w:val="-6"/>
                <w:sz w:val="20"/>
                <w:szCs w:val="20"/>
              </w:rPr>
              <w:footnoteReference w:id="4"/>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Pr>
                <w:rFonts w:cstheme="minorHAnsi"/>
                <w:b w:val="0"/>
                <w:color w:val="auto"/>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Pr>
                <w:rFonts w:cstheme="minorHAnsi"/>
                <w:b w:val="0"/>
                <w:color w:val="auto"/>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Copia/e della/e ricevuta/e di trasmissione della/e Comunicazione/i di opzione di cessione/sconto all’Agenzia delle entrate riguardante/i precedenti SAL (se presenti)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bl>
    <w:tbl>
      <w:tblPr>
        <w:tblStyle w:val="Elencochiaro-Colore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992"/>
        <w:gridCol w:w="107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color w:val="auto"/>
                <w:sz w:val="20"/>
                <w:szCs w:val="20"/>
              </w:rPr>
            </w:pPr>
            <w:r>
              <w:rPr>
                <w:rFonts w:cstheme="minorHAnsi"/>
                <w:b w:val="0"/>
                <w:color w:val="auto"/>
                <w:sz w:val="20"/>
                <w:szCs w:val="20"/>
              </w:rPr>
              <w:t>Attestato di prestazione energetica (APE) ante intervento</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Pr>
                <w:rFonts w:cstheme="minorHAnsi"/>
                <w:b w:val="0"/>
                <w:color w:val="auto"/>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Pr>
                <w:rFonts w:cstheme="minorHAnsi"/>
                <w:b w:val="0"/>
                <w:color w:val="auto"/>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b w:val="0"/>
              </w:rPr>
            </w:pPr>
            <w:r>
              <w:rPr>
                <w:rFonts w:cstheme="minorHAnsi"/>
                <w:b w:val="0"/>
                <w:sz w:val="20"/>
                <w:szCs w:val="20"/>
              </w:rPr>
              <w:t>Consenso alla cessione del credito o sconto in fattura da parte del cessionario/fornitore</w:t>
            </w:r>
            <w:r>
              <w:rPr>
                <w:rStyle w:val="Rimandonotaapidipagina"/>
                <w:rFonts w:cstheme="minorHAnsi"/>
                <w:b w:val="0"/>
                <w:sz w:val="20"/>
                <w:szCs w:val="20"/>
              </w:rPr>
              <w:footnoteReference w:id="5"/>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Asseverazioni e attestazioni finali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Scheda descrittiva</w:t>
            </w:r>
            <w:r>
              <w:rPr>
                <w:rStyle w:val="Rimandonotaapidipagina"/>
                <w:rFonts w:cstheme="minorHAnsi"/>
                <w:b w:val="0"/>
                <w:sz w:val="20"/>
                <w:szCs w:val="20"/>
              </w:rPr>
              <w:footnoteReference w:id="6"/>
            </w:r>
            <w:r>
              <w:rPr>
                <w:rFonts w:cstheme="minorHAnsi"/>
                <w:b w:val="0"/>
                <w:sz w:val="20"/>
                <w:szCs w:val="20"/>
              </w:rPr>
              <w:t xml:space="preserve"> con ricevuta di trasmissione all’Enea</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Attestato di prestazione energetica (APE) ante intervento</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Attestato di prestazione energetica (APE) post intervento</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z w:val="20"/>
                <w:szCs w:val="20"/>
              </w:rPr>
            </w:pPr>
            <w:r>
              <w:rPr>
                <w:rFonts w:cstheme="minorHAnsi"/>
                <w:b w:val="0"/>
                <w:sz w:val="20"/>
                <w:szCs w:val="20"/>
              </w:rPr>
              <w:t>Asseverazione dei requisiti tecnici e attestazione della congruità delle spese sostenute con ricevuta di trasmissione all’Enea</w:t>
            </w:r>
            <w:r>
              <w:rPr>
                <w:rStyle w:val="Rimandonotaapidipagina"/>
                <w:rFonts w:cstheme="minorHAnsi"/>
                <w:b w:val="0"/>
                <w:sz w:val="20"/>
                <w:szCs w:val="20"/>
              </w:rPr>
              <w:footnoteReference w:id="7"/>
            </w:r>
            <w:r>
              <w:rPr>
                <w:rFonts w:cstheme="minorHAnsi"/>
                <w:b w:val="0"/>
                <w:sz w:val="20"/>
                <w:szCs w:val="20"/>
              </w:rPr>
              <w:t xml:space="preserve"> </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b w:val="0"/>
                <w:spacing w:val="-8"/>
                <w:sz w:val="20"/>
                <w:szCs w:val="20"/>
              </w:rPr>
            </w:pPr>
            <w:r>
              <w:rPr>
                <w:rFonts w:cstheme="minorHAnsi"/>
                <w:b w:val="0"/>
                <w:spacing w:val="-8"/>
                <w:sz w:val="20"/>
                <w:szCs w:val="20"/>
              </w:rPr>
              <w:t>Polizza RC del tecnico sottoscrittore dell’asseverazione e dell’attestazione di cui al punto precedente</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rFonts w:cstheme="minorHAnsi"/>
                <w:sz w:val="20"/>
                <w:szCs w:val="20"/>
              </w:rPr>
            </w:pPr>
            <w:r>
              <w:rPr>
                <w:rFonts w:cstheme="minorHAnsi"/>
                <w:b w:val="0"/>
                <w:sz w:val="20"/>
                <w:szCs w:val="20"/>
              </w:rPr>
              <w:t>Contratto di cessione al GSE dell’energia non autoconsumata e scheda prodotto (solo per interventi fotovoltaici)</w:t>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FFFFFF" w:themeFill="background1"/>
            <w:tcMar>
              <w:left w:w="57" w:type="dxa"/>
              <w:right w:w="57" w:type="dxa"/>
            </w:tcMar>
          </w:tcPr>
          <w:p>
            <w:pPr>
              <w:pStyle w:val="Paragrafoelenco"/>
              <w:numPr>
                <w:ilvl w:val="0"/>
                <w:numId w:val="8"/>
              </w:numPr>
              <w:spacing w:after="0" w:line="240" w:lineRule="auto"/>
              <w:ind w:left="284" w:hanging="284"/>
              <w:jc w:val="both"/>
              <w:rPr>
                <w:b w:val="0"/>
              </w:rPr>
            </w:pPr>
            <w:r>
              <w:rPr>
                <w:rFonts w:cstheme="minorHAnsi"/>
                <w:b w:val="0"/>
                <w:sz w:val="20"/>
                <w:szCs w:val="20"/>
              </w:rPr>
              <w:t>Consenso alla cessione del credito o sconto in fattura da parte del cessionario/fornitore</w:t>
            </w:r>
            <w:r>
              <w:rPr>
                <w:rStyle w:val="Rimandonotaapidipagina"/>
                <w:rFonts w:cstheme="minorHAnsi"/>
                <w:b w:val="0"/>
                <w:sz w:val="20"/>
                <w:szCs w:val="20"/>
              </w:rPr>
              <w:footnoteReference w:id="8"/>
            </w:r>
          </w:p>
        </w:tc>
        <w:tc>
          <w:tcPr>
            <w:tcW w:w="992"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bl>
    <w:p>
      <w:pPr>
        <w:rPr>
          <w:b/>
        </w:rPr>
      </w:pPr>
      <w:r>
        <w:rPr>
          <w:b/>
        </w:rPr>
        <w:lastRenderedPageBreak/>
        <w:t>TABELLA A</w:t>
      </w:r>
    </w:p>
    <w:tbl>
      <w:tblPr>
        <w:tblStyle w:val="Elencochiaro-Colore3"/>
        <w:tblW w:w="0" w:type="auto"/>
        <w:tblLook w:val="04A0" w:firstRow="1" w:lastRow="0" w:firstColumn="1" w:lastColumn="0" w:noHBand="0" w:noVBand="1"/>
      </w:tblPr>
      <w:tblGrid>
        <w:gridCol w:w="3646"/>
        <w:gridCol w:w="3265"/>
        <w:gridCol w:w="270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pPr>
              <w:spacing w:before="120" w:after="120"/>
              <w:jc w:val="center"/>
              <w:rPr>
                <w:rFonts w:cstheme="minorHAnsi"/>
                <w:sz w:val="20"/>
                <w:szCs w:val="20"/>
              </w:rPr>
            </w:pPr>
            <w:r>
              <w:rPr>
                <w:rFonts w:cstheme="minorHAnsi"/>
                <w:sz w:val="20"/>
                <w:szCs w:val="20"/>
              </w:rPr>
              <w:t>INTERVENTI TRAINANTI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vAlign w:val="center"/>
          </w:tcPr>
          <w:p>
            <w:pPr>
              <w:spacing w:before="120" w:after="120"/>
              <w:jc w:val="center"/>
              <w:rPr>
                <w:rFonts w:cstheme="minorHAnsi"/>
                <w:bCs w:val="0"/>
                <w:sz w:val="20"/>
                <w:szCs w:val="20"/>
              </w:rPr>
            </w:pPr>
            <w:r>
              <w:rPr>
                <w:rFonts w:cstheme="minorHAnsi"/>
                <w:bCs w:val="0"/>
                <w:sz w:val="20"/>
                <w:szCs w:val="20"/>
              </w:rPr>
              <w:t>TIPOLOGIA INTERVENTO</w:t>
            </w:r>
          </w:p>
        </w:tc>
        <w:tc>
          <w:tcPr>
            <w:tcW w:w="3325" w:type="dxa"/>
            <w:vAlign w:val="center"/>
          </w:tcPr>
          <w:p>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CARATTERISTICHE INTERVENTO</w:t>
            </w:r>
          </w:p>
        </w:tc>
        <w:tc>
          <w:tcPr>
            <w:tcW w:w="2769" w:type="dxa"/>
            <w:vAlign w:val="center"/>
          </w:tcPr>
          <w:p>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LIMITI DI SPESA</w:t>
            </w:r>
          </w:p>
        </w:tc>
      </w:tr>
      <w:tr>
        <w:tc>
          <w:tcPr>
            <w:cnfStyle w:val="001000000000" w:firstRow="0" w:lastRow="0" w:firstColumn="1" w:lastColumn="0" w:oddVBand="0" w:evenVBand="0" w:oddHBand="0" w:evenHBand="0" w:firstRowFirstColumn="0" w:firstRowLastColumn="0" w:lastRowFirstColumn="0" w:lastRowLastColumn="0"/>
            <w:tcW w:w="3760" w:type="dxa"/>
          </w:tcPr>
          <w:p>
            <w:pPr>
              <w:jc w:val="both"/>
              <w:rPr>
                <w:rFonts w:cstheme="minorHAnsi"/>
                <w:sz w:val="20"/>
                <w:szCs w:val="20"/>
              </w:rPr>
            </w:pPr>
            <w:r>
              <w:rPr>
                <w:rFonts w:cstheme="minorHAnsi"/>
                <w:sz w:val="20"/>
                <w:szCs w:val="20"/>
              </w:rPr>
              <w:t>Isolamento termico delle superfici opache verticali (pareti generalmente esterne), orizzontali (coperture, pavi</w:t>
            </w:r>
            <w:r>
              <w:rPr>
                <w:rFonts w:cstheme="minorHAnsi"/>
                <w:sz w:val="20"/>
                <w:szCs w:val="20"/>
              </w:rPr>
              <w:softHyphen/>
              <w:t>menti) e inclinate che interessano l’involucro degli edifici, compresi quelli unifamiliari, con un’incidenza superiore al 25 per cento della superficie disper</w:t>
            </w:r>
            <w:r>
              <w:rPr>
                <w:rFonts w:cstheme="minorHAnsi"/>
                <w:sz w:val="20"/>
                <w:szCs w:val="20"/>
              </w:rPr>
              <w:softHyphen/>
              <w:t>dente lorda dell’edificio medesimo o dell’unità immobiliare funzionalmente indipendente e che disponga di uno o più accessi autonomi dall’esterno, sita all’interno di edifici plurifamiliari</w:t>
            </w:r>
          </w:p>
          <w:p>
            <w:pPr>
              <w:jc w:val="both"/>
              <w:rPr>
                <w:rFonts w:cstheme="minorHAnsi"/>
                <w:sz w:val="20"/>
                <w:szCs w:val="20"/>
              </w:rPr>
            </w:pPr>
            <w:r>
              <w:rPr>
                <w:rFonts w:cstheme="minorHAnsi"/>
                <w:sz w:val="20"/>
                <w:szCs w:val="20"/>
              </w:rPr>
              <w:t>(articolo 119, comma 1, lett. a))</w:t>
            </w:r>
          </w:p>
        </w:tc>
        <w:tc>
          <w:tcPr>
            <w:tcW w:w="3325" w:type="dxa"/>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L’intervento di isolamento termico deve coinvolgere più del 25 per cento della superficie disperdente lorda dell’edificio medesimo.</w:t>
            </w:r>
          </w:p>
          <w:p>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I materiali isolanti utilizzati devono rispettare i criteri ambientali minimi di cui al decreto del Ministro dell’ambiente e della tutela del territorio e del mare 11 ottobre 2017</w:t>
            </w:r>
            <w:r>
              <w:rPr>
                <w:rFonts w:cstheme="minorHAnsi"/>
                <w:b/>
                <w:sz w:val="20"/>
                <w:szCs w:val="20"/>
              </w:rPr>
              <w:t>.</w:t>
            </w:r>
          </w:p>
          <w:p>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769" w:type="dxa"/>
          </w:tcPr>
          <w:p>
            <w:pPr>
              <w:pStyle w:val="Paragrafoelenco"/>
              <w:numPr>
                <w:ilvl w:val="0"/>
                <w:numId w:val="2"/>
              </w:numPr>
              <w:spacing w:after="0" w:line="240" w:lineRule="auto"/>
              <w:ind w:left="286" w:hanging="283"/>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 xml:space="preserve">euro 50.000 </w:t>
            </w:r>
            <w:r>
              <w:rPr>
                <w:rFonts w:cstheme="minorHAnsi"/>
                <w:sz w:val="20"/>
                <w:szCs w:val="20"/>
              </w:rPr>
              <w:t>per gli edifici unifamiliari o per le unità immobiliari funzional</w:t>
            </w:r>
            <w:r>
              <w:rPr>
                <w:rFonts w:cstheme="minorHAnsi"/>
                <w:sz w:val="20"/>
                <w:szCs w:val="20"/>
              </w:rPr>
              <w:softHyphen/>
              <w:t>mente indipendenti site all’interno di edifici pluri</w:t>
            </w:r>
            <w:r>
              <w:rPr>
                <w:rFonts w:cstheme="minorHAnsi"/>
                <w:sz w:val="20"/>
                <w:szCs w:val="20"/>
              </w:rPr>
              <w:softHyphen/>
              <w:t>familiari;</w:t>
            </w:r>
          </w:p>
          <w:p>
            <w:pPr>
              <w:pStyle w:val="Paragrafoelenco"/>
              <w:numPr>
                <w:ilvl w:val="0"/>
                <w:numId w:val="2"/>
              </w:numPr>
              <w:spacing w:after="0" w:line="240" w:lineRule="auto"/>
              <w:ind w:left="286" w:hanging="283"/>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euro 40.000</w:t>
            </w:r>
            <w:r>
              <w:rPr>
                <w:rFonts w:cstheme="minorHAnsi"/>
                <w:sz w:val="20"/>
                <w:szCs w:val="20"/>
              </w:rPr>
              <w:t>, moltiplicato per il numero delle unità immobiliari che compon</w:t>
            </w:r>
            <w:r>
              <w:rPr>
                <w:rFonts w:cstheme="minorHAnsi"/>
                <w:sz w:val="20"/>
                <w:szCs w:val="20"/>
              </w:rPr>
              <w:softHyphen/>
              <w:t>gono l’edificio, se lo stesso è composto da due a otto unità immobiliari;</w:t>
            </w:r>
          </w:p>
          <w:p>
            <w:pPr>
              <w:pStyle w:val="Paragrafoelenco"/>
              <w:numPr>
                <w:ilvl w:val="0"/>
                <w:numId w:val="2"/>
              </w:numPr>
              <w:spacing w:after="0" w:line="240" w:lineRule="auto"/>
              <w:ind w:left="286" w:hanging="283"/>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euro 30.000</w:t>
            </w:r>
            <w:r>
              <w:rPr>
                <w:rFonts w:cstheme="minorHAnsi"/>
                <w:sz w:val="20"/>
                <w:szCs w:val="20"/>
              </w:rPr>
              <w:t>, moltiplicato per il numero delle unità immobiliari che compon</w:t>
            </w:r>
            <w:r>
              <w:rPr>
                <w:rFonts w:cstheme="minorHAnsi"/>
                <w:sz w:val="20"/>
                <w:szCs w:val="20"/>
              </w:rPr>
              <w:softHyphen/>
              <w:t>gono l’edificio, se lo stesso è composto da più di otto unità.</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tcPr>
          <w:p>
            <w:pPr>
              <w:jc w:val="both"/>
              <w:rPr>
                <w:rFonts w:cstheme="minorHAnsi"/>
                <w:b w:val="0"/>
                <w:sz w:val="20"/>
                <w:szCs w:val="20"/>
              </w:rPr>
            </w:pPr>
            <w:r>
              <w:rPr>
                <w:rFonts w:cstheme="minorHAnsi"/>
                <w:sz w:val="20"/>
                <w:szCs w:val="20"/>
              </w:rPr>
              <w:t>Sostituzione degli impianti di clima</w:t>
            </w:r>
            <w:r>
              <w:rPr>
                <w:rFonts w:cstheme="minorHAnsi"/>
                <w:sz w:val="20"/>
                <w:szCs w:val="20"/>
              </w:rPr>
              <w:softHyphen/>
              <w:t>tizzazione invernale</w:t>
            </w:r>
            <w:r>
              <w:rPr>
                <w:rStyle w:val="Rimandonotaapidipagina"/>
                <w:rFonts w:cstheme="minorHAnsi"/>
                <w:sz w:val="20"/>
                <w:szCs w:val="20"/>
              </w:rPr>
              <w:footnoteReference w:id="9"/>
            </w:r>
            <w:r>
              <w:rPr>
                <w:rFonts w:cstheme="minorHAnsi"/>
                <w:sz w:val="20"/>
                <w:szCs w:val="20"/>
              </w:rPr>
              <w:t xml:space="preserve"> sulle parti comuni degli edifici in condominio</w:t>
            </w:r>
          </w:p>
          <w:p>
            <w:pPr>
              <w:jc w:val="both"/>
              <w:rPr>
                <w:rFonts w:cstheme="minorHAnsi"/>
                <w:sz w:val="20"/>
                <w:szCs w:val="20"/>
              </w:rPr>
            </w:pPr>
            <w:r>
              <w:rPr>
                <w:rFonts w:cstheme="minorHAnsi"/>
                <w:sz w:val="20"/>
                <w:szCs w:val="20"/>
              </w:rPr>
              <w:t>(articolo 119, comma 1, lett. b))</w:t>
            </w:r>
          </w:p>
        </w:tc>
        <w:tc>
          <w:tcPr>
            <w:tcW w:w="3325" w:type="dxa"/>
          </w:tcPr>
          <w:p>
            <w:pPr>
              <w:spacing w:after="80"/>
              <w:jc w:val="both"/>
              <w:cnfStyle w:val="000000100000" w:firstRow="0" w:lastRow="0" w:firstColumn="0" w:lastColumn="0" w:oddVBand="0" w:evenVBand="0" w:oddHBand="1" w:evenHBand="0" w:firstRowFirstColumn="0" w:firstRowLastColumn="0" w:lastRowFirstColumn="0" w:lastRowLastColumn="0"/>
              <w:rPr>
                <w:rFonts w:cstheme="minorHAnsi"/>
                <w:spacing w:val="-4"/>
                <w:sz w:val="20"/>
                <w:szCs w:val="20"/>
              </w:rPr>
            </w:pPr>
            <w:r>
              <w:rPr>
                <w:rFonts w:cstheme="minorHAnsi"/>
                <w:spacing w:val="-4"/>
                <w:sz w:val="20"/>
                <w:szCs w:val="20"/>
              </w:rPr>
              <w:t>Il Superbonus si applica agli interventi effettuati sulle parti comuni degli edifici in condominio per la sostituzione degli impianti esistenti con:</w:t>
            </w:r>
          </w:p>
          <w:p>
            <w:pPr>
              <w:pStyle w:val="Paragrafoelenco"/>
              <w:numPr>
                <w:ilvl w:val="0"/>
                <w:numId w:val="5"/>
              </w:numPr>
              <w:spacing w:before="60" w:after="60" w:line="240" w:lineRule="auto"/>
              <w:ind w:left="215" w:hanging="215"/>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impianti centralizzati per il riscal</w:t>
            </w:r>
            <w:r>
              <w:rPr>
                <w:rFonts w:cstheme="minorHAnsi"/>
                <w:sz w:val="20"/>
                <w:szCs w:val="20"/>
              </w:rPr>
              <w:softHyphen/>
              <w:t>damento, il raffrescamento o la fornitura di acqua calda sanitaria a condensazione, con efficienza almeno pari alla classe A di prodotto prevista dal regolamento delegato (UE) n. 811/2013 della Commissione del 18 febbraio 2013, a pompa di calore, ivi inclusi gli impianti ibridi o geotermici, anche abbinati all’installazione di impianti fotovoltaici e relativi sistemi di accumulo;</w:t>
            </w:r>
          </w:p>
          <w:p>
            <w:pPr>
              <w:pStyle w:val="Paragrafoelenco"/>
              <w:numPr>
                <w:ilvl w:val="0"/>
                <w:numId w:val="5"/>
              </w:numPr>
              <w:spacing w:before="60" w:after="60" w:line="240" w:lineRule="auto"/>
              <w:ind w:left="215" w:hanging="215"/>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impianti di microcogenerazione;</w:t>
            </w:r>
          </w:p>
          <w:p>
            <w:pPr>
              <w:pStyle w:val="Paragrafoelenco"/>
              <w:numPr>
                <w:ilvl w:val="0"/>
                <w:numId w:val="5"/>
              </w:numPr>
              <w:spacing w:after="0" w:line="240" w:lineRule="auto"/>
              <w:ind w:left="213" w:hanging="21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impianti a collettori solari.</w:t>
            </w:r>
          </w:p>
        </w:tc>
        <w:tc>
          <w:tcPr>
            <w:tcW w:w="2769" w:type="dxa"/>
          </w:tcPr>
          <w:p>
            <w:pPr>
              <w:pStyle w:val="Paragrafoelenco"/>
              <w:numPr>
                <w:ilvl w:val="0"/>
                <w:numId w:val="2"/>
              </w:numPr>
              <w:spacing w:after="0" w:line="240" w:lineRule="auto"/>
              <w:ind w:left="286" w:hanging="283"/>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euro 20.000</w:t>
            </w:r>
            <w:r>
              <w:rPr>
                <w:rFonts w:cstheme="minorHAnsi"/>
                <w:sz w:val="20"/>
                <w:szCs w:val="20"/>
              </w:rPr>
              <w:t xml:space="preserve"> moltiplicato per il numero delle unità immobiliari che compon</w:t>
            </w:r>
            <w:r>
              <w:rPr>
                <w:rFonts w:cstheme="minorHAnsi"/>
                <w:sz w:val="20"/>
                <w:szCs w:val="20"/>
              </w:rPr>
              <w:softHyphen/>
              <w:t>gono l’edificio per gli edifici composti fino a otto unità immobiliari;</w:t>
            </w:r>
          </w:p>
          <w:p>
            <w:pPr>
              <w:pStyle w:val="Paragrafoelenco"/>
              <w:numPr>
                <w:ilvl w:val="0"/>
                <w:numId w:val="2"/>
              </w:numPr>
              <w:spacing w:after="0" w:line="240" w:lineRule="auto"/>
              <w:ind w:left="286" w:hanging="283"/>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euro 15.000</w:t>
            </w:r>
            <w:r>
              <w:rPr>
                <w:rFonts w:cstheme="minorHAnsi"/>
                <w:sz w:val="20"/>
                <w:szCs w:val="20"/>
              </w:rPr>
              <w:t xml:space="preserve"> moltiplicato per il numero delle unità immobiliari che compon</w:t>
            </w:r>
            <w:r>
              <w:rPr>
                <w:rFonts w:cstheme="minorHAnsi"/>
                <w:sz w:val="20"/>
                <w:szCs w:val="20"/>
              </w:rPr>
              <w:softHyphen/>
              <w:t>gono l’edificio per gli edifici composti da più di otto unità immobiliari</w:t>
            </w:r>
            <w:r>
              <w:rPr>
                <w:rStyle w:val="Rimandonotaapidipagina"/>
                <w:rFonts w:cstheme="minorHAnsi"/>
                <w:sz w:val="20"/>
                <w:szCs w:val="20"/>
              </w:rPr>
              <w:footnoteReference w:id="10"/>
            </w:r>
            <w:r>
              <w:rPr>
                <w:rFonts w:cstheme="minorHAnsi"/>
                <w:sz w:val="20"/>
                <w:szCs w:val="20"/>
              </w:rPr>
              <w:t xml:space="preserve"> </w:t>
            </w:r>
            <w:r>
              <w:rPr>
                <w:rStyle w:val="Rimandonotaapidipagina"/>
                <w:rFonts w:cstheme="minorHAnsi"/>
                <w:sz w:val="20"/>
                <w:szCs w:val="20"/>
              </w:rPr>
              <w:footnoteReference w:id="11"/>
            </w:r>
            <w:r>
              <w:rPr>
                <w:rFonts w:cstheme="minorHAnsi"/>
                <w:sz w:val="20"/>
                <w:szCs w:val="20"/>
              </w:rPr>
              <w:t>.</w:t>
            </w:r>
          </w:p>
        </w:tc>
      </w:tr>
      <w:tr>
        <w:tc>
          <w:tcPr>
            <w:cnfStyle w:val="001000000000" w:firstRow="0" w:lastRow="0" w:firstColumn="1" w:lastColumn="0" w:oddVBand="0" w:evenVBand="0" w:oddHBand="0" w:evenHBand="0" w:firstRowFirstColumn="0" w:firstRowLastColumn="0" w:lastRowFirstColumn="0" w:lastRowLastColumn="0"/>
            <w:tcW w:w="3760" w:type="dxa"/>
          </w:tcPr>
          <w:p>
            <w:pPr>
              <w:jc w:val="both"/>
              <w:rPr>
                <w:rFonts w:cstheme="minorHAnsi"/>
                <w:sz w:val="20"/>
                <w:szCs w:val="20"/>
              </w:rPr>
            </w:pPr>
            <w:r>
              <w:rPr>
                <w:rFonts w:cstheme="minorHAnsi"/>
                <w:sz w:val="20"/>
                <w:szCs w:val="20"/>
              </w:rPr>
              <w:lastRenderedPageBreak/>
              <w:t>Sostituzione di impianti di clima</w:t>
            </w:r>
            <w:r>
              <w:rPr>
                <w:rFonts w:cstheme="minorHAnsi"/>
                <w:sz w:val="20"/>
                <w:szCs w:val="20"/>
              </w:rPr>
              <w:softHyphen/>
              <w:t>tizzazione invernale sugli “edifici unifamiliari” o sulle unità immobiliari di edifici pluri</w:t>
            </w:r>
            <w:r>
              <w:rPr>
                <w:rFonts w:cstheme="minorHAnsi"/>
                <w:sz w:val="20"/>
                <w:szCs w:val="20"/>
              </w:rPr>
              <w:softHyphen/>
              <w:t>familiari</w:t>
            </w:r>
          </w:p>
          <w:p>
            <w:pPr>
              <w:jc w:val="both"/>
              <w:rPr>
                <w:rFonts w:cstheme="minorHAnsi"/>
                <w:sz w:val="20"/>
                <w:szCs w:val="20"/>
              </w:rPr>
            </w:pPr>
            <w:r>
              <w:rPr>
                <w:rFonts w:cstheme="minorHAnsi"/>
                <w:sz w:val="20"/>
                <w:szCs w:val="20"/>
              </w:rPr>
              <w:t>(articolo 119, comma 1, lett. c))</w:t>
            </w:r>
          </w:p>
        </w:tc>
        <w:tc>
          <w:tcPr>
            <w:tcW w:w="3325" w:type="dxa"/>
          </w:tcPr>
          <w:p>
            <w:pPr>
              <w:spacing w:after="8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Il Superbonus spetta per interventi effettuati sugli “edifici unifamiliari” o sulle unità immobiliari funzional</w:t>
            </w:r>
            <w:r>
              <w:rPr>
                <w:rFonts w:cstheme="minorHAnsi"/>
                <w:sz w:val="20"/>
                <w:szCs w:val="20"/>
              </w:rPr>
              <w:softHyphen/>
              <w:t>mente indipendenti e che dispongano di uno o più accessi autonomi dall’esterno, site all’interno di edifici plurifamiliari (cd. villette a schiera), per la sostituzione degli impianti di climatizzazione invernale esistenti con:</w:t>
            </w:r>
          </w:p>
          <w:p>
            <w:pPr>
              <w:pStyle w:val="Paragrafoelenco"/>
              <w:numPr>
                <w:ilvl w:val="0"/>
                <w:numId w:val="5"/>
              </w:numPr>
              <w:spacing w:before="60" w:after="60" w:line="240" w:lineRule="auto"/>
              <w:ind w:left="215" w:hanging="215"/>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impianti per il riscaldamento, il raffrescamento o la fornitura di acqua calda sanitaria a condensa</w:t>
            </w:r>
            <w:r>
              <w:rPr>
                <w:rFonts w:cstheme="minorHAnsi"/>
                <w:sz w:val="20"/>
                <w:szCs w:val="20"/>
              </w:rPr>
              <w:softHyphen/>
              <w:t>zione, con efficienza almeno pari alla classe A di prodotto prevista dal regolamento delegato (UE) n. 811/2013 della Commissione del 18 febbraio 2013, a pompa di calore, ivi inclusi gli impianti ibridi o geotermici, anche abbinati all’installazione di impianti fotovoltaici e relativi sistemi di accumulo;</w:t>
            </w:r>
          </w:p>
          <w:p>
            <w:pPr>
              <w:pStyle w:val="Paragrafoelenco"/>
              <w:numPr>
                <w:ilvl w:val="0"/>
                <w:numId w:val="5"/>
              </w:numPr>
              <w:spacing w:before="60" w:after="60" w:line="240" w:lineRule="auto"/>
              <w:ind w:left="215" w:hanging="215"/>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impianti di microcogenerazione;</w:t>
            </w:r>
          </w:p>
          <w:p>
            <w:pPr>
              <w:pStyle w:val="Paragrafoelenco"/>
              <w:numPr>
                <w:ilvl w:val="0"/>
                <w:numId w:val="5"/>
              </w:numPr>
              <w:spacing w:before="60" w:after="60" w:line="240" w:lineRule="auto"/>
              <w:ind w:left="215" w:hanging="215"/>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impianti a collettori solari.</w:t>
            </w:r>
          </w:p>
        </w:tc>
        <w:tc>
          <w:tcPr>
            <w:tcW w:w="2769" w:type="dxa"/>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La detrazione è calcolata su un ammontare complessivo delle spese non superiore a </w:t>
            </w:r>
            <w:r>
              <w:rPr>
                <w:rFonts w:cstheme="minorHAnsi"/>
                <w:b/>
                <w:sz w:val="20"/>
                <w:szCs w:val="20"/>
              </w:rPr>
              <w:t>euro 30.000</w:t>
            </w:r>
            <w:r>
              <w:rPr>
                <w:rStyle w:val="Rimandonotaapidipagina"/>
                <w:rFonts w:cstheme="minorHAnsi"/>
                <w:sz w:val="20"/>
                <w:szCs w:val="20"/>
              </w:rPr>
              <w:footnoteReference w:id="12"/>
            </w:r>
            <w:r>
              <w:rPr>
                <w:rFonts w:cstheme="minorHAnsi"/>
                <w:sz w:val="20"/>
                <w:szCs w:val="20"/>
              </w:rPr>
              <w:t xml:space="preserve"> per singola unità immobiliare. Nel predetto limite, la detrazione spetta anche per le spese relative allo smaltimento e alla bonifica dell’impianto sostituito.</w:t>
            </w:r>
          </w:p>
        </w:tc>
      </w:tr>
    </w:tbl>
    <w:p>
      <w:pPr>
        <w:jc w:val="both"/>
        <w:rPr>
          <w:rFonts w:cstheme="minorHAnsi"/>
          <w:b/>
          <w:sz w:val="20"/>
          <w:szCs w:val="20"/>
        </w:rPr>
      </w:pPr>
    </w:p>
    <w:p>
      <w:pPr>
        <w:spacing w:after="160" w:line="259" w:lineRule="auto"/>
        <w:rPr>
          <w:rFonts w:cstheme="minorHAnsi"/>
          <w:b/>
          <w:sz w:val="20"/>
          <w:szCs w:val="20"/>
        </w:rPr>
      </w:pPr>
      <w:r>
        <w:rPr>
          <w:rFonts w:cstheme="minorHAnsi"/>
          <w:b/>
          <w:sz w:val="20"/>
          <w:szCs w:val="20"/>
        </w:rPr>
        <w:br w:type="page"/>
      </w:r>
    </w:p>
    <w:p>
      <w:pPr>
        <w:jc w:val="both"/>
        <w:rPr>
          <w:rFonts w:cstheme="minorHAnsi"/>
          <w:b/>
        </w:rPr>
      </w:pPr>
      <w:r>
        <w:rPr>
          <w:rFonts w:cstheme="minorHAnsi"/>
          <w:b/>
        </w:rPr>
        <w:lastRenderedPageBreak/>
        <w:t>TABELLA B</w:t>
      </w:r>
    </w:p>
    <w:tbl>
      <w:tblPr>
        <w:tblStyle w:val="Elencochiaro-Colore3"/>
        <w:tblW w:w="0" w:type="auto"/>
        <w:tblLook w:val="04A0" w:firstRow="1" w:lastRow="0" w:firstColumn="1" w:lastColumn="0" w:noHBand="0" w:noVBand="1"/>
      </w:tblPr>
      <w:tblGrid>
        <w:gridCol w:w="2899"/>
        <w:gridCol w:w="3515"/>
        <w:gridCol w:w="320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3"/>
          </w:tcPr>
          <w:p>
            <w:pPr>
              <w:spacing w:before="120" w:after="120"/>
              <w:jc w:val="center"/>
              <w:rPr>
                <w:rFonts w:cstheme="minorHAnsi"/>
                <w:sz w:val="20"/>
                <w:szCs w:val="20"/>
              </w:rPr>
            </w:pPr>
            <w:r>
              <w:rPr>
                <w:rFonts w:cstheme="minorHAnsi"/>
                <w:sz w:val="20"/>
                <w:szCs w:val="20"/>
              </w:rPr>
              <w:t>INTERVENTI TRAINATI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Mar>
              <w:top w:w="57" w:type="dxa"/>
              <w:bottom w:w="57" w:type="dxa"/>
            </w:tcMar>
          </w:tcPr>
          <w:p>
            <w:pPr>
              <w:spacing w:before="120" w:after="120"/>
              <w:jc w:val="center"/>
              <w:rPr>
                <w:rFonts w:cstheme="minorHAnsi"/>
                <w:bCs w:val="0"/>
                <w:sz w:val="20"/>
                <w:szCs w:val="20"/>
              </w:rPr>
            </w:pPr>
            <w:r>
              <w:rPr>
                <w:rFonts w:cstheme="minorHAnsi"/>
                <w:bCs w:val="0"/>
                <w:sz w:val="20"/>
                <w:szCs w:val="20"/>
              </w:rPr>
              <w:t>TIPO INTERVENTO</w:t>
            </w:r>
          </w:p>
        </w:tc>
        <w:tc>
          <w:tcPr>
            <w:tcW w:w="3575" w:type="dxa"/>
            <w:tcMar>
              <w:top w:w="57" w:type="dxa"/>
              <w:bottom w:w="57" w:type="dxa"/>
            </w:tcMar>
          </w:tcPr>
          <w:p>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CONDIZIONI NECESSARIE</w:t>
            </w:r>
          </w:p>
        </w:tc>
        <w:tc>
          <w:tcPr>
            <w:tcW w:w="3260" w:type="dxa"/>
            <w:tcMar>
              <w:top w:w="57" w:type="dxa"/>
              <w:bottom w:w="57" w:type="dxa"/>
            </w:tcMar>
          </w:tcPr>
          <w:p>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LIMITI DI SPESA</w:t>
            </w:r>
          </w:p>
        </w:tc>
      </w:tr>
      <w:tr>
        <w:tc>
          <w:tcPr>
            <w:cnfStyle w:val="001000000000" w:firstRow="0" w:lastRow="0" w:firstColumn="1" w:lastColumn="0" w:oddVBand="0" w:evenVBand="0" w:oddHBand="0" w:evenHBand="0" w:firstRowFirstColumn="0" w:firstRowLastColumn="0" w:lastRowFirstColumn="0" w:lastRowLastColumn="0"/>
            <w:tcW w:w="2943" w:type="dxa"/>
            <w:tcMar>
              <w:top w:w="57" w:type="dxa"/>
              <w:bottom w:w="57" w:type="dxa"/>
            </w:tcMar>
          </w:tcPr>
          <w:p>
            <w:pPr>
              <w:jc w:val="both"/>
              <w:rPr>
                <w:rFonts w:cstheme="minorHAnsi"/>
                <w:sz w:val="20"/>
                <w:szCs w:val="20"/>
              </w:rPr>
            </w:pPr>
            <w:r>
              <w:rPr>
                <w:rFonts w:cstheme="minorHAnsi"/>
                <w:sz w:val="20"/>
                <w:szCs w:val="20"/>
              </w:rPr>
              <w:t>Spese sostenute per tutti gli interventi di efficientamento energetico indicati nell’articolo 14 del d.l. n. 63 del 2013 e nell’articolo 1, commi da 344 a 347, della legge n. 296/2006 (c.d. “ecobonus”)</w:t>
            </w:r>
          </w:p>
          <w:p>
            <w:pPr>
              <w:jc w:val="both"/>
              <w:rPr>
                <w:rFonts w:cstheme="minorHAnsi"/>
                <w:sz w:val="20"/>
                <w:szCs w:val="20"/>
              </w:rPr>
            </w:pPr>
            <w:r>
              <w:rPr>
                <w:rFonts w:cstheme="minorHAnsi"/>
                <w:sz w:val="20"/>
                <w:szCs w:val="20"/>
              </w:rPr>
              <w:t>(articolo 119, comma 2)</w:t>
            </w:r>
          </w:p>
        </w:tc>
        <w:tc>
          <w:tcPr>
            <w:tcW w:w="3575" w:type="dxa"/>
            <w:tcMar>
              <w:top w:w="57" w:type="dxa"/>
              <w:bottom w:w="57" w:type="dxa"/>
            </w:tcMar>
          </w:tcPr>
          <w:p>
            <w:pPr>
              <w:spacing w:after="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Solo se eseguiti</w:t>
            </w:r>
            <w:r>
              <w:rPr>
                <w:rFonts w:cstheme="minorHAnsi"/>
                <w:b/>
                <w:sz w:val="20"/>
                <w:szCs w:val="20"/>
              </w:rPr>
              <w:t xml:space="preserve"> </w:t>
            </w:r>
            <w:r>
              <w:rPr>
                <w:rFonts w:cstheme="minorHAnsi"/>
                <w:sz w:val="20"/>
                <w:szCs w:val="20"/>
              </w:rPr>
              <w:t>congiuntamente</w:t>
            </w:r>
            <w:r>
              <w:rPr>
                <w:rStyle w:val="Rimandonotaapidipagina"/>
                <w:rFonts w:cstheme="minorHAnsi"/>
                <w:sz w:val="20"/>
                <w:szCs w:val="20"/>
              </w:rPr>
              <w:footnoteReference w:id="13"/>
            </w:r>
            <w:r>
              <w:rPr>
                <w:rFonts w:cstheme="minorHAnsi"/>
                <w:sz w:val="20"/>
                <w:szCs w:val="20"/>
              </w:rPr>
              <w:t xml:space="preserve"> sempreché assicurino, nel loro com</w:t>
            </w:r>
            <w:r>
              <w:rPr>
                <w:rFonts w:cstheme="minorHAnsi"/>
                <w:sz w:val="20"/>
                <w:szCs w:val="20"/>
              </w:rPr>
              <w:softHyphen/>
              <w:t>plesso, il miglioramento di due classi energetiche oppure, ove non possibile, il conseguimento della classe energetica più alta (attualmente la classe A4) a condizione che gli interventi siano effettivamente conclusi.</w:t>
            </w:r>
          </w:p>
        </w:tc>
        <w:tc>
          <w:tcPr>
            <w:tcW w:w="3260" w:type="dxa"/>
            <w:tcMar>
              <w:top w:w="57" w:type="dxa"/>
              <w:bottom w:w="57" w:type="dxa"/>
            </w:tcMar>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Nei limiti di detrazione o di spesa previsti nell’articolo 14 del d.l. n. 63 del 2013 per ciascun intervento e nell’articolo 1, commi da 344 a 347, della legge n. 296/2006</w:t>
            </w:r>
            <w:r>
              <w:rPr>
                <w:rStyle w:val="Rimandonotaapidipagina"/>
                <w:rFonts w:cstheme="minorHAnsi"/>
                <w:sz w:val="20"/>
                <w:szCs w:val="20"/>
              </w:rPr>
              <w:footnoteReference w:id="14"/>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Mar>
              <w:top w:w="57" w:type="dxa"/>
              <w:bottom w:w="57" w:type="dxa"/>
            </w:tcMar>
          </w:tcPr>
          <w:p>
            <w:pPr>
              <w:jc w:val="both"/>
              <w:rPr>
                <w:rFonts w:cstheme="minorHAnsi"/>
                <w:sz w:val="20"/>
                <w:szCs w:val="20"/>
              </w:rPr>
            </w:pPr>
            <w:r>
              <w:rPr>
                <w:rFonts w:cstheme="minorHAnsi"/>
                <w:sz w:val="20"/>
                <w:szCs w:val="20"/>
              </w:rPr>
              <w:t>Installazione di impianti solari fotovoltaici</w:t>
            </w:r>
            <w:r>
              <w:rPr>
                <w:rFonts w:cstheme="minorHAnsi"/>
                <w:b w:val="0"/>
                <w:sz w:val="20"/>
                <w:szCs w:val="20"/>
              </w:rPr>
              <w:t xml:space="preserve"> </w:t>
            </w:r>
            <w:r>
              <w:rPr>
                <w:rFonts w:cstheme="minorHAnsi"/>
                <w:sz w:val="20"/>
                <w:szCs w:val="20"/>
              </w:rPr>
              <w:t>connessi alla rete elettrica sugli edifici di cui all’articolo 1, comma 1, lettere a), b), c) e d) del d.p.r. 26 agosto 1993, n. 412.</w:t>
            </w:r>
          </w:p>
          <w:p>
            <w:pPr>
              <w:jc w:val="both"/>
              <w:rPr>
                <w:rFonts w:cstheme="minorHAnsi"/>
                <w:sz w:val="20"/>
                <w:szCs w:val="20"/>
              </w:rPr>
            </w:pPr>
            <w:r>
              <w:rPr>
                <w:rFonts w:cstheme="minorHAnsi"/>
                <w:sz w:val="20"/>
                <w:szCs w:val="20"/>
              </w:rPr>
              <w:t>(articolo 119, comma 5)</w:t>
            </w:r>
          </w:p>
          <w:p>
            <w:pPr>
              <w:jc w:val="both"/>
              <w:rPr>
                <w:rFonts w:cstheme="minorHAnsi"/>
                <w:b w:val="0"/>
                <w:sz w:val="20"/>
                <w:szCs w:val="20"/>
              </w:rPr>
            </w:pPr>
          </w:p>
        </w:tc>
        <w:tc>
          <w:tcPr>
            <w:tcW w:w="3575" w:type="dxa"/>
            <w:tcMar>
              <w:top w:w="57" w:type="dxa"/>
              <w:bottom w:w="57" w:type="dxa"/>
            </w:tcMar>
          </w:tcPr>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Installazione degli impianti eseguita congiuntamente all’intervento trainante di riqualificazione energetica o antisismici.</w:t>
            </w:r>
          </w:p>
          <w:p>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Deve essere prevista la cessione in favore del Gestore dei servizi energetici (GSE) Spa con le modalità di cui all’articolo 13, comma 3, del d.lgs. 29 dicembre 2003, n. 387, dell’energia non auto-consumata in sito ovvero non condivisa per l’autoconsumo, ai sensi dell’articolo 42-</w:t>
            </w:r>
            <w:r>
              <w:rPr>
                <w:rFonts w:cstheme="minorHAnsi"/>
                <w:i/>
                <w:iCs/>
                <w:sz w:val="20"/>
                <w:szCs w:val="20"/>
              </w:rPr>
              <w:t>bis</w:t>
            </w:r>
            <w:r>
              <w:rPr>
                <w:rFonts w:cstheme="minorHAnsi"/>
                <w:sz w:val="20"/>
                <w:szCs w:val="20"/>
              </w:rPr>
              <w:t xml:space="preserve"> del decreto-legge 30 dicembre 2019, n. 162, convertito, con modificazioni, dalla legge 28 febbraio 2020, n. 8.</w:t>
            </w:r>
          </w:p>
          <w:p>
            <w:pPr>
              <w:spacing w:after="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La detrazione non è cumulabile con altri incentivi pubblici o altre forme di agevolazione di qualsiasi natura previste dalla normativa europea, nazionale e regionale, compresi i fondi di garanzia e di rotazione di cui all’articolo 11, comma 4, del d.lgs. 3 marzo 2011, n. 28, e gli incentivi per lo scambio sul posto di cui all’articolo 25-</w:t>
            </w:r>
            <w:r>
              <w:rPr>
                <w:rFonts w:cstheme="minorHAnsi"/>
                <w:i/>
                <w:iCs/>
                <w:sz w:val="20"/>
                <w:szCs w:val="20"/>
              </w:rPr>
              <w:t>bis</w:t>
            </w:r>
            <w:r>
              <w:rPr>
                <w:rFonts w:cstheme="minorHAnsi"/>
                <w:sz w:val="20"/>
                <w:szCs w:val="20"/>
              </w:rPr>
              <w:t xml:space="preserve"> del decreto-legge 24 giugno 2014, n. 91, convertito, con modificazioni, dalla legge 11 agosto 2014, n. 116.</w:t>
            </w:r>
          </w:p>
        </w:tc>
        <w:tc>
          <w:tcPr>
            <w:tcW w:w="3260" w:type="dxa"/>
            <w:tcMar>
              <w:top w:w="57" w:type="dxa"/>
              <w:bottom w:w="57" w:type="dxa"/>
            </w:tcMar>
          </w:tcPr>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 detrazione è calcolata su un ammontare complessivo delle spese non superiore a </w:t>
            </w:r>
            <w:r>
              <w:rPr>
                <w:rFonts w:cstheme="minorHAnsi"/>
                <w:b/>
                <w:sz w:val="20"/>
                <w:szCs w:val="20"/>
              </w:rPr>
              <w:t>euro 48.000</w:t>
            </w:r>
            <w:r>
              <w:rPr>
                <w:rFonts w:cstheme="minorHAnsi"/>
                <w:sz w:val="20"/>
                <w:szCs w:val="20"/>
              </w:rPr>
              <w:t xml:space="preserve"> per ciascuna unità immobiliare e, comunque, nel limite di spesa di </w:t>
            </w:r>
            <w:r>
              <w:rPr>
                <w:rFonts w:cstheme="minorHAnsi"/>
                <w:b/>
                <w:sz w:val="20"/>
                <w:szCs w:val="20"/>
              </w:rPr>
              <w:t>euro 2.400 per ogni kW</w:t>
            </w:r>
            <w:r>
              <w:rPr>
                <w:rFonts w:cstheme="minorHAnsi"/>
                <w:sz w:val="20"/>
                <w:szCs w:val="20"/>
              </w:rPr>
              <w:t xml:space="preserve"> di potenza nominale dell’impianto solare fotovoltaico.</w:t>
            </w:r>
          </w:p>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Il limite di spesa per l’installazione dell’impianto fotovoltaico è ridotto ad </w:t>
            </w:r>
            <w:r>
              <w:rPr>
                <w:rFonts w:cstheme="minorHAnsi"/>
                <w:b/>
                <w:sz w:val="20"/>
                <w:szCs w:val="20"/>
              </w:rPr>
              <w:t>euro 1.600 per ogni kW</w:t>
            </w:r>
            <w:r>
              <w:rPr>
                <w:rFonts w:cstheme="minorHAnsi"/>
                <w:sz w:val="20"/>
                <w:szCs w:val="20"/>
              </w:rPr>
              <w:t xml:space="preserve"> di potenza nel caso in cui sia contestuale ad un intervento di ristrutturazione edilizia, di nuova costruzione o di ristrutturazione urbanistica, di cui all’articolo 3, comma 1, lettere d), e) ed f) del d.p.r. 6 giugno 2001, n. 380.</w:t>
            </w:r>
          </w:p>
        </w:tc>
      </w:tr>
      <w:tr>
        <w:tc>
          <w:tcPr>
            <w:cnfStyle w:val="001000000000" w:firstRow="0" w:lastRow="0" w:firstColumn="1" w:lastColumn="0" w:oddVBand="0" w:evenVBand="0" w:oddHBand="0" w:evenHBand="0" w:firstRowFirstColumn="0" w:firstRowLastColumn="0" w:lastRowFirstColumn="0" w:lastRowLastColumn="0"/>
            <w:tcW w:w="2943" w:type="dxa"/>
            <w:tcMar>
              <w:top w:w="57" w:type="dxa"/>
              <w:bottom w:w="57" w:type="dxa"/>
            </w:tcMar>
          </w:tcPr>
          <w:p>
            <w:pPr>
              <w:jc w:val="both"/>
              <w:rPr>
                <w:rFonts w:cstheme="minorHAnsi"/>
                <w:sz w:val="20"/>
                <w:szCs w:val="20"/>
              </w:rPr>
            </w:pPr>
            <w:r>
              <w:rPr>
                <w:rFonts w:cstheme="minorHAnsi"/>
                <w:sz w:val="20"/>
                <w:szCs w:val="20"/>
              </w:rPr>
              <w:t>Sistemi di accumulo integrati negli impianti solari fotovoltaici agevolati contestuale o succes</w:t>
            </w:r>
            <w:r>
              <w:rPr>
                <w:rFonts w:cstheme="minorHAnsi"/>
                <w:sz w:val="20"/>
                <w:szCs w:val="20"/>
              </w:rPr>
              <w:softHyphen/>
              <w:t>siva all’installazione degli im</w:t>
            </w:r>
            <w:r>
              <w:rPr>
                <w:rFonts w:cstheme="minorHAnsi"/>
                <w:sz w:val="20"/>
                <w:szCs w:val="20"/>
              </w:rPr>
              <w:softHyphen/>
              <w:t>pianti medesimi.</w:t>
            </w:r>
          </w:p>
          <w:p>
            <w:pPr>
              <w:spacing w:after="0"/>
              <w:jc w:val="both"/>
              <w:rPr>
                <w:rFonts w:cstheme="minorHAnsi"/>
                <w:sz w:val="20"/>
                <w:szCs w:val="20"/>
              </w:rPr>
            </w:pPr>
            <w:r>
              <w:rPr>
                <w:rFonts w:cstheme="minorHAnsi"/>
                <w:sz w:val="20"/>
                <w:szCs w:val="20"/>
              </w:rPr>
              <w:t>(articolo 119, comma 6)</w:t>
            </w:r>
          </w:p>
        </w:tc>
        <w:tc>
          <w:tcPr>
            <w:tcW w:w="3575" w:type="dxa"/>
            <w:tcMar>
              <w:top w:w="57" w:type="dxa"/>
              <w:bottom w:w="57" w:type="dxa"/>
            </w:tcMar>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Stesse condizioni indicate al punto precedente.</w:t>
            </w:r>
          </w:p>
        </w:tc>
        <w:tc>
          <w:tcPr>
            <w:tcW w:w="3260" w:type="dxa"/>
            <w:tcMar>
              <w:top w:w="57" w:type="dxa"/>
              <w:bottom w:w="57" w:type="dxa"/>
            </w:tcMar>
          </w:tcPr>
          <w:p>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La detrazione è calcolata su un ammontare complessivo delle spese non superiore a </w:t>
            </w:r>
            <w:r>
              <w:rPr>
                <w:rFonts w:cstheme="minorHAnsi"/>
                <w:b/>
                <w:sz w:val="20"/>
                <w:szCs w:val="20"/>
              </w:rPr>
              <w:t>euro 48.000</w:t>
            </w:r>
            <w:r>
              <w:rPr>
                <w:rFonts w:cstheme="minorHAnsi"/>
                <w:sz w:val="20"/>
                <w:szCs w:val="20"/>
              </w:rPr>
              <w:t xml:space="preserve"> per ciascuna unità immobiliare e, comunque, nel limite di spesa di </w:t>
            </w:r>
            <w:r>
              <w:rPr>
                <w:rFonts w:cstheme="minorHAnsi"/>
                <w:b/>
                <w:sz w:val="20"/>
                <w:szCs w:val="20"/>
              </w:rPr>
              <w:t>euro 1.000 per ogni kWh</w:t>
            </w:r>
            <w:r>
              <w:rPr>
                <w:rFonts w:cstheme="minorHAnsi"/>
                <w:sz w:val="20"/>
                <w:szCs w:val="20"/>
              </w:rPr>
              <w:t xml:space="preserve"> di capacità di accumulo dei predetti sistemi.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Mar>
              <w:top w:w="57" w:type="dxa"/>
              <w:bottom w:w="57" w:type="dxa"/>
            </w:tcMar>
          </w:tcPr>
          <w:p>
            <w:pPr>
              <w:jc w:val="both"/>
              <w:rPr>
                <w:rFonts w:cstheme="minorHAnsi"/>
                <w:sz w:val="20"/>
                <w:szCs w:val="20"/>
              </w:rPr>
            </w:pPr>
            <w:r>
              <w:rPr>
                <w:rFonts w:cstheme="minorHAnsi"/>
                <w:sz w:val="20"/>
                <w:szCs w:val="20"/>
              </w:rPr>
              <w:t>Installazione delle infrastrutture per la ricarica di veicoli elettrici negli edifici nonché costi legati all’aumento di potenza impe</w:t>
            </w:r>
            <w:r>
              <w:rPr>
                <w:rFonts w:cstheme="minorHAnsi"/>
                <w:sz w:val="20"/>
                <w:szCs w:val="20"/>
              </w:rPr>
              <w:softHyphen/>
              <w:t>gnata del contatore dell’energia elettrica, fino ad un massimo di 7 kw, di cui all’articolo 16-</w:t>
            </w:r>
            <w:r>
              <w:rPr>
                <w:rFonts w:cstheme="minorHAnsi"/>
                <w:i/>
                <w:iCs/>
                <w:sz w:val="20"/>
                <w:szCs w:val="20"/>
              </w:rPr>
              <w:t>ter</w:t>
            </w:r>
            <w:r>
              <w:rPr>
                <w:rFonts w:cstheme="minorHAnsi"/>
                <w:sz w:val="20"/>
                <w:szCs w:val="20"/>
              </w:rPr>
              <w:t xml:space="preserve"> del d.l. n. 63 del 2013.</w:t>
            </w:r>
          </w:p>
          <w:p>
            <w:pPr>
              <w:spacing w:after="0"/>
              <w:jc w:val="both"/>
              <w:rPr>
                <w:rFonts w:cstheme="minorHAnsi"/>
                <w:sz w:val="20"/>
                <w:szCs w:val="20"/>
              </w:rPr>
            </w:pPr>
            <w:r>
              <w:rPr>
                <w:rFonts w:cstheme="minorHAnsi"/>
                <w:sz w:val="20"/>
                <w:szCs w:val="20"/>
              </w:rPr>
              <w:t>(articolo 119, comma 8)</w:t>
            </w:r>
          </w:p>
        </w:tc>
        <w:tc>
          <w:tcPr>
            <w:tcW w:w="3575" w:type="dxa"/>
            <w:tcMar>
              <w:top w:w="57" w:type="dxa"/>
              <w:bottom w:w="57" w:type="dxa"/>
            </w:tcMar>
          </w:tcPr>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Solo se eseguiti congiuntamente a un intervento di riqualificazione energetica “trainante”.</w:t>
            </w:r>
          </w:p>
        </w:tc>
        <w:tc>
          <w:tcPr>
            <w:tcW w:w="3260" w:type="dxa"/>
            <w:tcMar>
              <w:top w:w="57" w:type="dxa"/>
              <w:bottom w:w="57" w:type="dxa"/>
            </w:tcMar>
          </w:tcPr>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Il limite di spesa ammesso alla detrazione, pari a </w:t>
            </w:r>
            <w:r>
              <w:rPr>
                <w:rFonts w:cstheme="minorHAnsi"/>
                <w:b/>
                <w:sz w:val="20"/>
                <w:szCs w:val="20"/>
              </w:rPr>
              <w:t>3.000 euro</w:t>
            </w:r>
            <w:r>
              <w:rPr>
                <w:rFonts w:cstheme="minorHAnsi"/>
                <w:sz w:val="20"/>
                <w:szCs w:val="20"/>
              </w:rPr>
              <w:t>, è annuale ed è riferito a ciascun intervento di acquisto e posa in opera delle infrastrutture di ricarica.</w:t>
            </w:r>
          </w:p>
        </w:tc>
      </w:tr>
    </w:tbl>
    <w:p>
      <w:pPr>
        <w:jc w:val="both"/>
        <w:rPr>
          <w:rFonts w:cstheme="minorHAnsi"/>
          <w:b/>
          <w:sz w:val="20"/>
          <w:szCs w:val="20"/>
        </w:rPr>
      </w:pPr>
    </w:p>
    <w:p>
      <w:pPr>
        <w:spacing w:after="160" w:line="259" w:lineRule="auto"/>
        <w:rPr>
          <w:rFonts w:cstheme="minorHAnsi"/>
          <w:b/>
          <w:sz w:val="20"/>
          <w:szCs w:val="20"/>
        </w:rPr>
      </w:pPr>
      <w:r>
        <w:rPr>
          <w:rFonts w:cstheme="minorHAnsi"/>
          <w:b/>
          <w:sz w:val="20"/>
          <w:szCs w:val="20"/>
        </w:rPr>
        <w:br w:type="page"/>
      </w:r>
    </w:p>
    <w:p>
      <w:pPr>
        <w:jc w:val="both"/>
        <w:rPr>
          <w:rFonts w:cstheme="minorHAnsi"/>
          <w:b/>
        </w:rPr>
      </w:pPr>
      <w:r>
        <w:rPr>
          <w:rFonts w:cstheme="minorHAnsi"/>
          <w:b/>
        </w:rPr>
        <w:t>TABELLA C (Interventi trainati di cui all’articolo 119, comma 2, del d.l. n. 34/2020)</w:t>
      </w:r>
    </w:p>
    <w:tbl>
      <w:tblPr>
        <w:tblStyle w:val="Elencochiaro-Colore2"/>
        <w:tblW w:w="0" w:type="auto"/>
        <w:tblLook w:val="04A0" w:firstRow="1" w:lastRow="0" w:firstColumn="1" w:lastColumn="0" w:noHBand="0" w:noVBand="1"/>
      </w:tblPr>
      <w:tblGrid>
        <w:gridCol w:w="4548"/>
        <w:gridCol w:w="507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pPr>
              <w:spacing w:before="120" w:after="120"/>
              <w:jc w:val="center"/>
              <w:rPr>
                <w:rFonts w:cstheme="minorHAnsi"/>
                <w:smallCaps/>
              </w:rPr>
            </w:pPr>
            <w:r>
              <w:rPr>
                <w:rFonts w:cstheme="minorHAnsi"/>
                <w:smallCaps/>
              </w:rPr>
              <w:t>Tipologia intervento trainato</w:t>
            </w:r>
          </w:p>
        </w:tc>
        <w:tc>
          <w:tcPr>
            <w:tcW w:w="5142" w:type="dxa"/>
          </w:tcPr>
          <w:p>
            <w:pPr>
              <w:spacing w:before="120" w:after="120"/>
              <w:jc w:val="center"/>
              <w:cnfStyle w:val="100000000000" w:firstRow="1" w:lastRow="0" w:firstColumn="0" w:lastColumn="0" w:oddVBand="0" w:evenVBand="0" w:oddHBand="0" w:evenHBand="0" w:firstRowFirstColumn="0" w:firstRowLastColumn="0" w:lastRowFirstColumn="0" w:lastRowLastColumn="0"/>
              <w:rPr>
                <w:rFonts w:cstheme="minorHAnsi"/>
                <w:smallCaps/>
              </w:rPr>
            </w:pPr>
            <w:r>
              <w:rPr>
                <w:rFonts w:cstheme="minorHAnsi"/>
                <w:smallCaps/>
              </w:rPr>
              <w:t>Limite di spesa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tcPr>
          <w:p>
            <w:pPr>
              <w:spacing w:after="0"/>
              <w:jc w:val="both"/>
              <w:rPr>
                <w:rFonts w:cstheme="minorHAnsi"/>
                <w:sz w:val="20"/>
                <w:szCs w:val="20"/>
              </w:rPr>
            </w:pPr>
            <w:r>
              <w:rPr>
                <w:rFonts w:cstheme="minorHAnsi"/>
                <w:sz w:val="20"/>
                <w:szCs w:val="20"/>
              </w:rPr>
              <w:t xml:space="preserve">1. Isolamento termico delle superfici opache verticali, orizzontali e inclinate che interessano le </w:t>
            </w:r>
            <w:r>
              <w:rPr>
                <w:rFonts w:cstheme="minorHAnsi"/>
                <w:sz w:val="20"/>
                <w:szCs w:val="20"/>
                <w:u w:val="single"/>
              </w:rPr>
              <w:t>parti comuni</w:t>
            </w:r>
            <w:r>
              <w:rPr>
                <w:rFonts w:cstheme="minorHAnsi"/>
                <w:sz w:val="20"/>
                <w:szCs w:val="20"/>
              </w:rPr>
              <w:t xml:space="preserve"> l’involucro dell’edificio con un’inci</w:t>
            </w:r>
            <w:r>
              <w:rPr>
                <w:rFonts w:cstheme="minorHAnsi"/>
                <w:sz w:val="20"/>
                <w:szCs w:val="20"/>
              </w:rPr>
              <w:softHyphen/>
              <w:t xml:space="preserve">denza complessiva </w:t>
            </w:r>
            <w:r>
              <w:rPr>
                <w:rFonts w:cstheme="minorHAnsi"/>
                <w:sz w:val="20"/>
                <w:szCs w:val="20"/>
                <w:u w:val="single"/>
              </w:rPr>
              <w:t>minore o uguale al 25</w:t>
            </w:r>
            <w:r>
              <w:rPr>
                <w:rFonts w:cstheme="minorHAnsi"/>
                <w:sz w:val="20"/>
                <w:szCs w:val="20"/>
              </w:rPr>
              <w:t xml:space="preserve"> per cento della superficie disperdente lorda dell’edificio medesimo</w:t>
            </w:r>
          </w:p>
        </w:tc>
        <w:tc>
          <w:tcPr>
            <w:tcW w:w="5142" w:type="dxa"/>
            <w:tcMar>
              <w:top w:w="57" w:type="dxa"/>
              <w:bottom w:w="57" w:type="dxa"/>
            </w:tcMar>
          </w:tcPr>
          <w:p>
            <w:pPr>
              <w:spacing w:after="0"/>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La spesa massima ammissibile ammonta a euro 54.545,45 per numero immobili che compongono l’edificio interessato dall’intervento</w:t>
            </w:r>
          </w:p>
          <w:p>
            <w:pPr>
              <w:spacing w:after="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tcPr>
          <w:p>
            <w:pPr>
              <w:spacing w:after="0"/>
              <w:jc w:val="both"/>
              <w:rPr>
                <w:rFonts w:cstheme="minorHAnsi"/>
                <w:b w:val="0"/>
                <w:sz w:val="20"/>
                <w:szCs w:val="20"/>
              </w:rPr>
            </w:pPr>
            <w:r>
              <w:rPr>
                <w:rFonts w:cstheme="minorHAnsi"/>
                <w:sz w:val="20"/>
                <w:szCs w:val="20"/>
              </w:rPr>
              <w:t xml:space="preserve">2. Sostituzione di finestre comprensive di infissi delle </w:t>
            </w:r>
            <w:r>
              <w:rPr>
                <w:rFonts w:cstheme="minorHAnsi"/>
                <w:sz w:val="20"/>
                <w:szCs w:val="20"/>
                <w:u w:val="single"/>
              </w:rPr>
              <w:t>parti comuni</w:t>
            </w:r>
          </w:p>
        </w:tc>
        <w:tc>
          <w:tcPr>
            <w:tcW w:w="5142" w:type="dxa"/>
            <w:tcMar>
              <w:top w:w="57" w:type="dxa"/>
              <w:bottom w:w="57" w:type="dxa"/>
            </w:tcMar>
          </w:tcPr>
          <w:p>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La spesa massima ammissibile ammonta a euro 54.545,45 per numero immobili che compongono l’edificio interessato dall’intervento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tcMar>
              <w:top w:w="57" w:type="dxa"/>
              <w:bottom w:w="57" w:type="dxa"/>
            </w:tcMar>
          </w:tcPr>
          <w:p>
            <w:pPr>
              <w:spacing w:after="0"/>
              <w:jc w:val="both"/>
              <w:rPr>
                <w:rFonts w:cstheme="minorHAnsi"/>
                <w:sz w:val="20"/>
                <w:szCs w:val="20"/>
              </w:rPr>
            </w:pPr>
            <w:r>
              <w:rPr>
                <w:rFonts w:cstheme="minorHAnsi"/>
                <w:sz w:val="20"/>
                <w:szCs w:val="20"/>
              </w:rPr>
              <w:t xml:space="preserve">In caso di esecuzione congiunta degli interventi di cui ai precedenti punti 1 e 2 la detrazione massima concessa ammonta complessivamente a euro 54.545,45 per numero immobili che compongono l’edificio interessato dall’intervento </w:t>
            </w:r>
          </w:p>
        </w:tc>
      </w:tr>
      <w:t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tcPr>
          <w:p>
            <w:pPr>
              <w:spacing w:after="0"/>
              <w:jc w:val="both"/>
              <w:rPr>
                <w:rFonts w:cstheme="minorHAnsi"/>
                <w:sz w:val="20"/>
                <w:szCs w:val="20"/>
              </w:rPr>
            </w:pPr>
            <w:r>
              <w:rPr>
                <w:rFonts w:cstheme="minorHAnsi"/>
                <w:sz w:val="20"/>
                <w:szCs w:val="20"/>
              </w:rPr>
              <w:t xml:space="preserve">3. Acquisto e posa in opera delle schermature solari e chiusure oscuranti delle </w:t>
            </w:r>
            <w:r>
              <w:rPr>
                <w:rFonts w:cstheme="minorHAnsi"/>
                <w:sz w:val="20"/>
                <w:szCs w:val="20"/>
                <w:u w:val="single"/>
              </w:rPr>
              <w:t>parti comuni</w:t>
            </w:r>
          </w:p>
        </w:tc>
        <w:tc>
          <w:tcPr>
            <w:tcW w:w="5142" w:type="dxa"/>
            <w:tcMar>
              <w:top w:w="57" w:type="dxa"/>
              <w:bottom w:w="57" w:type="dxa"/>
            </w:tcMar>
          </w:tcPr>
          <w:p>
            <w:pPr>
              <w:spacing w:after="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La spesa massima ammissibile ammonta a euro 54.545,45 per il numero di unità immobiliari di cui si compone l’edificio interessato dall’intervento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tcPr>
          <w:p>
            <w:pPr>
              <w:spacing w:after="60"/>
              <w:jc w:val="both"/>
              <w:rPr>
                <w:rFonts w:cstheme="minorHAnsi"/>
                <w:sz w:val="20"/>
                <w:szCs w:val="20"/>
              </w:rPr>
            </w:pPr>
            <w:r>
              <w:rPr>
                <w:rFonts w:cstheme="minorHAnsi"/>
                <w:sz w:val="20"/>
                <w:szCs w:val="20"/>
              </w:rPr>
              <w:t xml:space="preserve">4. Intervento, sulle </w:t>
            </w:r>
            <w:r>
              <w:rPr>
                <w:rFonts w:cstheme="minorHAnsi"/>
                <w:sz w:val="20"/>
                <w:szCs w:val="20"/>
                <w:u w:val="single"/>
              </w:rPr>
              <w:t>parti comuni</w:t>
            </w:r>
            <w:r>
              <w:rPr>
                <w:rFonts w:cstheme="minorHAnsi"/>
                <w:sz w:val="20"/>
                <w:szCs w:val="20"/>
              </w:rPr>
              <w:t>, di sostituzione degli impianti di climatizzazione invernale esistenti con impianti dotati di:</w:t>
            </w:r>
          </w:p>
          <w:p>
            <w:pPr>
              <w:pStyle w:val="Paragrafoelenco"/>
              <w:numPr>
                <w:ilvl w:val="0"/>
                <w:numId w:val="33"/>
              </w:numPr>
              <w:spacing w:after="60"/>
              <w:ind w:left="426" w:hanging="284"/>
              <w:contextualSpacing w:val="0"/>
              <w:jc w:val="both"/>
              <w:rPr>
                <w:rFonts w:cstheme="minorHAnsi"/>
                <w:sz w:val="20"/>
                <w:szCs w:val="20"/>
              </w:rPr>
            </w:pPr>
            <w:r>
              <w:rPr>
                <w:rFonts w:cstheme="minorHAnsi"/>
                <w:sz w:val="20"/>
                <w:szCs w:val="20"/>
              </w:rPr>
              <w:t>generatori di aria calda a condensazione</w:t>
            </w:r>
          </w:p>
          <w:p>
            <w:pPr>
              <w:pStyle w:val="Paragrafoelenco"/>
              <w:numPr>
                <w:ilvl w:val="0"/>
                <w:numId w:val="33"/>
              </w:numPr>
              <w:spacing w:after="60"/>
              <w:ind w:left="426" w:hanging="284"/>
              <w:contextualSpacing w:val="0"/>
              <w:jc w:val="both"/>
              <w:rPr>
                <w:rFonts w:cstheme="minorHAnsi"/>
                <w:sz w:val="20"/>
                <w:szCs w:val="20"/>
              </w:rPr>
            </w:pPr>
            <w:r>
              <w:rPr>
                <w:rFonts w:cstheme="minorHAnsi"/>
                <w:sz w:val="20"/>
                <w:szCs w:val="20"/>
              </w:rPr>
              <w:t>generatori a biomassa in classe 5</w:t>
            </w:r>
          </w:p>
          <w:p>
            <w:pPr>
              <w:pStyle w:val="Paragrafoelenco"/>
              <w:numPr>
                <w:ilvl w:val="0"/>
                <w:numId w:val="33"/>
              </w:numPr>
              <w:spacing w:after="60"/>
              <w:ind w:left="426" w:hanging="284"/>
              <w:contextualSpacing w:val="0"/>
              <w:jc w:val="both"/>
              <w:rPr>
                <w:rFonts w:cstheme="minorHAnsi"/>
                <w:sz w:val="20"/>
                <w:szCs w:val="20"/>
              </w:rPr>
            </w:pPr>
            <w:r>
              <w:rPr>
                <w:rFonts w:cstheme="minorHAnsi"/>
                <w:sz w:val="20"/>
                <w:szCs w:val="20"/>
              </w:rPr>
              <w:t>scaldacqua a pompa di calore</w:t>
            </w:r>
          </w:p>
          <w:p>
            <w:pPr>
              <w:jc w:val="both"/>
              <w:rPr>
                <w:rFonts w:cstheme="minorHAnsi"/>
                <w:sz w:val="20"/>
                <w:szCs w:val="20"/>
              </w:rPr>
            </w:pPr>
          </w:p>
        </w:tc>
        <w:tc>
          <w:tcPr>
            <w:tcW w:w="5142" w:type="dxa"/>
            <w:tcMar>
              <w:top w:w="57" w:type="dxa"/>
              <w:bottom w:w="57" w:type="dxa"/>
            </w:tcMar>
          </w:tcPr>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 spesa massima ammissibile ammonta a euro 27.272,72 per il numero di unità immobiliari di cui si compone l’edificio interessato dall’intervento </w:t>
            </w:r>
          </w:p>
          <w:p>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N.B.:</w:t>
            </w:r>
          </w:p>
          <w:p>
            <w:pPr>
              <w:spacing w:after="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In caso di installazione contestuale di più impianti di cui alle lettere a) b) e c) (ad esempio </w:t>
            </w:r>
            <w:r>
              <w:rPr>
                <w:rFonts w:cstheme="minorHAnsi"/>
                <w:bCs/>
                <w:sz w:val="20"/>
                <w:szCs w:val="20"/>
              </w:rPr>
              <w:t>generatori di aria calda a condensazione unitamente a scaldacqua a pompa di calore)</w:t>
            </w:r>
            <w:r>
              <w:rPr>
                <w:rFonts w:cstheme="minorHAnsi"/>
                <w:sz w:val="20"/>
                <w:szCs w:val="20"/>
              </w:rPr>
              <w:t xml:space="preserve"> la detrazione massima fruibile rimane comunque pari a euro 27.272,72 per il numero di unità immobiliari di cui si compone l’edificio interessate dall’intervento.</w:t>
            </w:r>
          </w:p>
        </w:tc>
      </w:tr>
      <w:tr>
        <w:tc>
          <w:tcPr>
            <w:cnfStyle w:val="001000000000" w:firstRow="0" w:lastRow="0" w:firstColumn="1" w:lastColumn="0" w:oddVBand="0" w:evenVBand="0" w:oddHBand="0" w:evenHBand="0" w:firstRowFirstColumn="0" w:firstRowLastColumn="0" w:lastRowFirstColumn="0" w:lastRowLastColumn="0"/>
            <w:tcW w:w="9747" w:type="dxa"/>
            <w:gridSpan w:val="2"/>
            <w:tcMar>
              <w:top w:w="57" w:type="dxa"/>
              <w:bottom w:w="57" w:type="dxa"/>
            </w:tcMar>
          </w:tcPr>
          <w:p>
            <w:pPr>
              <w:spacing w:after="0"/>
              <w:jc w:val="both"/>
              <w:rPr>
                <w:rFonts w:cstheme="minorHAnsi"/>
                <w:sz w:val="20"/>
                <w:szCs w:val="20"/>
              </w:rPr>
            </w:pPr>
            <w:r>
              <w:rPr>
                <w:rFonts w:cstheme="minorHAnsi"/>
                <w:sz w:val="20"/>
                <w:szCs w:val="20"/>
              </w:rPr>
              <w:t>A tali limiti di spesa si aggiunge quella prevista nel caso di eventuale installazione di impianti fotovoltaici e relativi sistemi di accumulo nei limiti di spesa previsti dall’articolo 119, commi 5 e 6</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tcPr>
          <w:p>
            <w:pPr>
              <w:spacing w:after="0"/>
              <w:jc w:val="both"/>
              <w:rPr>
                <w:rFonts w:cstheme="minorHAnsi"/>
                <w:sz w:val="20"/>
                <w:szCs w:val="20"/>
              </w:rPr>
            </w:pPr>
            <w:r>
              <w:rPr>
                <w:rFonts w:cstheme="minorHAnsi"/>
                <w:sz w:val="20"/>
                <w:szCs w:val="20"/>
              </w:rPr>
              <w:t>5. Infrastrutture per la ricarica di veicoli elettrici negli edifici</w:t>
            </w:r>
          </w:p>
        </w:tc>
        <w:tc>
          <w:tcPr>
            <w:tcW w:w="5142" w:type="dxa"/>
            <w:tcMar>
              <w:top w:w="57" w:type="dxa"/>
              <w:bottom w:w="57" w:type="dxa"/>
            </w:tcMar>
          </w:tcPr>
          <w:p>
            <w:pPr>
              <w:spacing w:after="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 spesa massima ammissibile è di euro 3.000 per il numero di unità di immobiliari che compongono l’edificio </w:t>
            </w:r>
          </w:p>
        </w:tc>
      </w:tr>
      <w:t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tcPr>
          <w:p>
            <w:pPr>
              <w:spacing w:after="0"/>
              <w:jc w:val="both"/>
              <w:rPr>
                <w:rFonts w:cstheme="minorHAnsi"/>
                <w:bCs w:val="0"/>
                <w:sz w:val="20"/>
                <w:szCs w:val="20"/>
              </w:rPr>
            </w:pPr>
            <w:r>
              <w:rPr>
                <w:rFonts w:cstheme="minorHAnsi"/>
                <w:bCs w:val="0"/>
                <w:sz w:val="20"/>
                <w:szCs w:val="20"/>
              </w:rPr>
              <w:t xml:space="preserve">6. Isolamento termico delle superfici opache verticali, orizzontali e inclinate che interessano le parti </w:t>
            </w:r>
            <w:r>
              <w:rPr>
                <w:rFonts w:cstheme="minorHAnsi"/>
                <w:bCs w:val="0"/>
                <w:sz w:val="20"/>
                <w:szCs w:val="20"/>
                <w:u w:val="single"/>
              </w:rPr>
              <w:t xml:space="preserve">private </w:t>
            </w:r>
            <w:r>
              <w:rPr>
                <w:rFonts w:cstheme="minorHAnsi"/>
                <w:bCs w:val="0"/>
                <w:sz w:val="20"/>
                <w:szCs w:val="20"/>
              </w:rPr>
              <w:t xml:space="preserve">dell’involucro dell’edificio o su </w:t>
            </w:r>
            <w:r>
              <w:rPr>
                <w:rFonts w:cstheme="minorHAnsi"/>
                <w:bCs w:val="0"/>
                <w:sz w:val="20"/>
                <w:szCs w:val="20"/>
                <w:u w:val="single"/>
              </w:rPr>
              <w:t>edifici unifamiliari</w:t>
            </w:r>
            <w:r>
              <w:rPr>
                <w:rFonts w:cstheme="minorHAnsi"/>
                <w:bCs w:val="0"/>
                <w:sz w:val="20"/>
                <w:szCs w:val="20"/>
              </w:rPr>
              <w:t xml:space="preserve"> con un’incidenza complessiva </w:t>
            </w:r>
            <w:r>
              <w:rPr>
                <w:rFonts w:cstheme="minorHAnsi"/>
                <w:bCs w:val="0"/>
                <w:sz w:val="20"/>
                <w:szCs w:val="20"/>
                <w:u w:val="single"/>
              </w:rPr>
              <w:t>minore o uguale al 25</w:t>
            </w:r>
            <w:r>
              <w:rPr>
                <w:rFonts w:cstheme="minorHAnsi"/>
                <w:bCs w:val="0"/>
                <w:sz w:val="20"/>
                <w:szCs w:val="20"/>
              </w:rPr>
              <w:t xml:space="preserve"> per cento della superficie disperdente lorda dell’edificio medesimo</w:t>
            </w:r>
          </w:p>
        </w:tc>
        <w:tc>
          <w:tcPr>
            <w:tcW w:w="5142" w:type="dxa"/>
            <w:tcMar>
              <w:top w:w="57" w:type="dxa"/>
              <w:bottom w:w="57" w:type="dxa"/>
            </w:tcMar>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La spesa massima ammissibile ammonta a euro 54.545,45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vAlign w:val="center"/>
          </w:tcPr>
          <w:p>
            <w:pPr>
              <w:spacing w:after="0"/>
              <w:jc w:val="both"/>
              <w:rPr>
                <w:rFonts w:cstheme="minorHAnsi"/>
                <w:sz w:val="20"/>
                <w:szCs w:val="20"/>
              </w:rPr>
            </w:pPr>
            <w:r>
              <w:rPr>
                <w:rFonts w:cstheme="minorHAnsi"/>
                <w:sz w:val="20"/>
                <w:szCs w:val="20"/>
              </w:rPr>
              <w:t xml:space="preserve">7. Sostituzione delle finestre comprensive di infissi su </w:t>
            </w:r>
            <w:r>
              <w:rPr>
                <w:rFonts w:cstheme="minorHAnsi"/>
                <w:sz w:val="20"/>
                <w:szCs w:val="20"/>
                <w:u w:val="single"/>
              </w:rPr>
              <w:t>parti private</w:t>
            </w:r>
            <w:r>
              <w:rPr>
                <w:rFonts w:cstheme="minorHAnsi"/>
                <w:sz w:val="20"/>
                <w:szCs w:val="20"/>
              </w:rPr>
              <w:t xml:space="preserve"> di un’unità immobiliare </w:t>
            </w:r>
          </w:p>
        </w:tc>
        <w:tc>
          <w:tcPr>
            <w:tcW w:w="5142" w:type="dxa"/>
            <w:tcMar>
              <w:top w:w="57" w:type="dxa"/>
              <w:bottom w:w="57" w:type="dxa"/>
            </w:tcMar>
            <w:vAlign w:val="center"/>
          </w:tcPr>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 spesa massima ammissibile ammonta a euro 54.545,45 </w:t>
            </w:r>
          </w:p>
        </w:tc>
      </w:tr>
      <w:tr>
        <w:tc>
          <w:tcPr>
            <w:cnfStyle w:val="001000000000" w:firstRow="0" w:lastRow="0" w:firstColumn="1" w:lastColumn="0" w:oddVBand="0" w:evenVBand="0" w:oddHBand="0" w:evenHBand="0" w:firstRowFirstColumn="0" w:firstRowLastColumn="0" w:lastRowFirstColumn="0" w:lastRowLastColumn="0"/>
            <w:tcW w:w="9747" w:type="dxa"/>
            <w:gridSpan w:val="2"/>
            <w:tcMar>
              <w:top w:w="57" w:type="dxa"/>
              <w:bottom w:w="57" w:type="dxa"/>
            </w:tcMar>
            <w:vAlign w:val="center"/>
          </w:tcPr>
          <w:p>
            <w:pPr>
              <w:spacing w:after="0"/>
              <w:jc w:val="both"/>
              <w:rPr>
                <w:rFonts w:cstheme="minorHAnsi"/>
                <w:sz w:val="20"/>
                <w:szCs w:val="20"/>
              </w:rPr>
            </w:pPr>
            <w:r>
              <w:rPr>
                <w:rFonts w:cstheme="minorHAnsi"/>
                <w:bCs w:val="0"/>
                <w:sz w:val="20"/>
                <w:szCs w:val="20"/>
              </w:rPr>
              <w:t xml:space="preserve">In caso di esecuzione congiunta degli interventi di cui ai precedenti punti 6 e 7 la detrazione massima concessa ammonta complessivamente a </w:t>
            </w:r>
            <w:r>
              <w:rPr>
                <w:rFonts w:cstheme="minorHAnsi"/>
                <w:sz w:val="20"/>
                <w:szCs w:val="20"/>
              </w:rPr>
              <w:t xml:space="preserve">euro </w:t>
            </w:r>
            <w:r>
              <w:rPr>
                <w:rFonts w:cstheme="minorHAnsi"/>
                <w:bCs w:val="0"/>
                <w:sz w:val="20"/>
                <w:szCs w:val="20"/>
              </w:rPr>
              <w:t xml:space="preserve">54.545,45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vAlign w:val="center"/>
          </w:tcPr>
          <w:p>
            <w:pPr>
              <w:spacing w:after="0"/>
              <w:jc w:val="both"/>
              <w:rPr>
                <w:rFonts w:cstheme="minorHAnsi"/>
                <w:b w:val="0"/>
                <w:bCs w:val="0"/>
                <w:sz w:val="20"/>
                <w:szCs w:val="20"/>
              </w:rPr>
            </w:pPr>
            <w:r>
              <w:rPr>
                <w:rFonts w:cstheme="minorHAnsi"/>
                <w:sz w:val="20"/>
                <w:szCs w:val="20"/>
              </w:rPr>
              <w:t>8. Acquisto e posa in opera delle schermature solari e chiusure oscuranti delle parti private dell’edificio o dell’immobile unifamiliare</w:t>
            </w:r>
          </w:p>
        </w:tc>
        <w:tc>
          <w:tcPr>
            <w:tcW w:w="5142" w:type="dxa"/>
            <w:tcMar>
              <w:top w:w="57" w:type="dxa"/>
              <w:bottom w:w="57" w:type="dxa"/>
            </w:tcMar>
            <w:vAlign w:val="center"/>
          </w:tcPr>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 spesa massima ammissibile ammonta a euro 54.545,45 </w:t>
            </w:r>
          </w:p>
        </w:tc>
      </w:tr>
      <w:tr>
        <w:tc>
          <w:tcPr>
            <w:cnfStyle w:val="001000000000" w:firstRow="0" w:lastRow="0" w:firstColumn="1" w:lastColumn="0" w:oddVBand="0" w:evenVBand="0" w:oddHBand="0" w:evenHBand="0" w:firstRowFirstColumn="0" w:firstRowLastColumn="0" w:lastRowFirstColumn="0" w:lastRowLastColumn="0"/>
            <w:tcW w:w="4605" w:type="dxa"/>
          </w:tcPr>
          <w:p>
            <w:pPr>
              <w:spacing w:after="120"/>
              <w:jc w:val="both"/>
              <w:rPr>
                <w:rFonts w:cstheme="minorHAnsi"/>
                <w:sz w:val="20"/>
                <w:szCs w:val="20"/>
              </w:rPr>
            </w:pPr>
            <w:r>
              <w:rPr>
                <w:rFonts w:cstheme="minorHAnsi"/>
                <w:sz w:val="20"/>
                <w:szCs w:val="20"/>
              </w:rPr>
              <w:t>9. Intervento di sostituzione degli impianti su edifici unifamiliari di climatizzazione invernale esistenti con impianto dotati di:</w:t>
            </w:r>
          </w:p>
          <w:p>
            <w:pPr>
              <w:pStyle w:val="Paragrafoelenco"/>
              <w:numPr>
                <w:ilvl w:val="0"/>
                <w:numId w:val="32"/>
              </w:numPr>
              <w:spacing w:before="60" w:after="60"/>
              <w:ind w:left="426" w:hanging="284"/>
              <w:contextualSpacing w:val="0"/>
              <w:jc w:val="both"/>
              <w:rPr>
                <w:rFonts w:cstheme="minorHAnsi"/>
                <w:sz w:val="20"/>
                <w:szCs w:val="20"/>
              </w:rPr>
            </w:pPr>
            <w:r>
              <w:rPr>
                <w:rFonts w:cstheme="minorHAnsi"/>
                <w:sz w:val="20"/>
                <w:szCs w:val="20"/>
              </w:rPr>
              <w:t>caldaie a condensazione</w:t>
            </w:r>
          </w:p>
          <w:p>
            <w:pPr>
              <w:pStyle w:val="Paragrafoelenco"/>
              <w:numPr>
                <w:ilvl w:val="0"/>
                <w:numId w:val="32"/>
              </w:numPr>
              <w:spacing w:before="60" w:after="60"/>
              <w:ind w:left="426" w:hanging="284"/>
              <w:contextualSpacing w:val="0"/>
              <w:jc w:val="both"/>
              <w:rPr>
                <w:rFonts w:cstheme="minorHAnsi"/>
                <w:sz w:val="20"/>
                <w:szCs w:val="20"/>
              </w:rPr>
            </w:pPr>
            <w:r>
              <w:rPr>
                <w:rFonts w:cstheme="minorHAnsi"/>
                <w:sz w:val="20"/>
                <w:szCs w:val="20"/>
              </w:rPr>
              <w:t>generatori di aria calda a condensazione</w:t>
            </w:r>
          </w:p>
          <w:p>
            <w:pPr>
              <w:pStyle w:val="Paragrafoelenco"/>
              <w:numPr>
                <w:ilvl w:val="0"/>
                <w:numId w:val="32"/>
              </w:numPr>
              <w:spacing w:before="60" w:after="60"/>
              <w:ind w:left="426" w:hanging="284"/>
              <w:contextualSpacing w:val="0"/>
              <w:jc w:val="both"/>
              <w:rPr>
                <w:rFonts w:cstheme="minorHAnsi"/>
                <w:sz w:val="20"/>
                <w:szCs w:val="20"/>
              </w:rPr>
            </w:pPr>
            <w:r>
              <w:rPr>
                <w:rFonts w:cstheme="minorHAnsi"/>
                <w:sz w:val="20"/>
                <w:szCs w:val="20"/>
              </w:rPr>
              <w:t xml:space="preserve">pompe di calore (PDC) a compressione di vapore elettriche anche sonde geotermiche </w:t>
            </w:r>
          </w:p>
          <w:p>
            <w:pPr>
              <w:pStyle w:val="Paragrafoelenco"/>
              <w:numPr>
                <w:ilvl w:val="0"/>
                <w:numId w:val="32"/>
              </w:numPr>
              <w:spacing w:before="60" w:after="60"/>
              <w:ind w:left="426" w:hanging="284"/>
              <w:contextualSpacing w:val="0"/>
              <w:jc w:val="both"/>
              <w:rPr>
                <w:rFonts w:cstheme="minorHAnsi"/>
                <w:sz w:val="20"/>
                <w:szCs w:val="20"/>
              </w:rPr>
            </w:pPr>
            <w:r>
              <w:rPr>
                <w:rFonts w:cstheme="minorHAnsi"/>
                <w:sz w:val="20"/>
                <w:szCs w:val="20"/>
              </w:rPr>
              <w:t xml:space="preserve">pompe di calore ad assorbimento a gas </w:t>
            </w:r>
          </w:p>
          <w:p>
            <w:pPr>
              <w:pStyle w:val="Paragrafoelenco"/>
              <w:numPr>
                <w:ilvl w:val="0"/>
                <w:numId w:val="32"/>
              </w:numPr>
              <w:spacing w:before="60" w:after="60"/>
              <w:ind w:left="426" w:hanging="284"/>
              <w:contextualSpacing w:val="0"/>
              <w:jc w:val="both"/>
              <w:rPr>
                <w:rFonts w:cstheme="minorHAnsi"/>
                <w:sz w:val="20"/>
                <w:szCs w:val="20"/>
              </w:rPr>
            </w:pPr>
            <w:r>
              <w:rPr>
                <w:rFonts w:cstheme="minorHAnsi"/>
                <w:sz w:val="20"/>
                <w:szCs w:val="20"/>
              </w:rPr>
              <w:t xml:space="preserve">sistemi ibridi (caldaia a condensazione) </w:t>
            </w:r>
          </w:p>
          <w:p>
            <w:pPr>
              <w:pStyle w:val="Paragrafoelenco"/>
              <w:numPr>
                <w:ilvl w:val="0"/>
                <w:numId w:val="32"/>
              </w:numPr>
              <w:spacing w:before="60" w:after="60"/>
              <w:ind w:left="426" w:hanging="284"/>
              <w:contextualSpacing w:val="0"/>
              <w:jc w:val="both"/>
              <w:rPr>
                <w:rFonts w:cstheme="minorHAnsi"/>
                <w:sz w:val="20"/>
                <w:szCs w:val="20"/>
              </w:rPr>
            </w:pPr>
            <w:r>
              <w:rPr>
                <w:rFonts w:cstheme="minorHAnsi"/>
                <w:sz w:val="20"/>
                <w:szCs w:val="20"/>
              </w:rPr>
              <w:t>scaldacqua a pompa di calore</w:t>
            </w:r>
          </w:p>
        </w:tc>
        <w:tc>
          <w:tcPr>
            <w:tcW w:w="5142" w:type="dxa"/>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La spesa massima ammissibile è pari a euro 27.272,72 </w:t>
            </w:r>
          </w:p>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N.B.: In caso di esecuzione congiunta degli interventi di cui alle lettere da a) ad e) la detrazione massima concessa ammonta complessivamente a euro 27.272,72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vAlign w:val="center"/>
          </w:tcPr>
          <w:p>
            <w:pPr>
              <w:spacing w:after="0"/>
              <w:jc w:val="both"/>
              <w:rPr>
                <w:rFonts w:cstheme="minorHAnsi"/>
                <w:sz w:val="20"/>
                <w:szCs w:val="20"/>
              </w:rPr>
            </w:pPr>
            <w:r>
              <w:rPr>
                <w:rFonts w:cstheme="minorHAnsi"/>
                <w:sz w:val="20"/>
                <w:szCs w:val="20"/>
              </w:rPr>
              <w:t>10. Intervento di sostituzione degli impianti di climatizzazione invernale esistenti con impianto dotati di sistemi microcogenerazione</w:t>
            </w:r>
          </w:p>
        </w:tc>
        <w:tc>
          <w:tcPr>
            <w:tcW w:w="5142" w:type="dxa"/>
            <w:tcMar>
              <w:top w:w="57" w:type="dxa"/>
              <w:bottom w:w="57" w:type="dxa"/>
            </w:tcMar>
            <w:vAlign w:val="center"/>
          </w:tcPr>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 spesa massima ammissibile per l’intervento è pari a euro 90.909,09 </w:t>
            </w:r>
          </w:p>
        </w:tc>
      </w:tr>
      <w:t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vAlign w:val="center"/>
          </w:tcPr>
          <w:p>
            <w:pPr>
              <w:spacing w:after="0"/>
              <w:jc w:val="both"/>
              <w:rPr>
                <w:rFonts w:cstheme="minorHAnsi"/>
                <w:sz w:val="20"/>
                <w:szCs w:val="20"/>
              </w:rPr>
            </w:pPr>
            <w:r>
              <w:rPr>
                <w:rFonts w:cstheme="minorHAnsi"/>
                <w:sz w:val="20"/>
                <w:szCs w:val="20"/>
              </w:rPr>
              <w:t>11. Installazione, di impianti di climatizzazione invernale dotati di generatori di calore alimentati da biomasse combustibili</w:t>
            </w:r>
          </w:p>
        </w:tc>
        <w:tc>
          <w:tcPr>
            <w:tcW w:w="5142" w:type="dxa"/>
            <w:tcMar>
              <w:top w:w="57" w:type="dxa"/>
              <w:bottom w:w="57" w:type="dxa"/>
            </w:tcMar>
            <w:vAlign w:val="center"/>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La spesa massima ammissibile è pari a euro 27.272,72</w:t>
            </w:r>
          </w:p>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vAlign w:val="center"/>
          </w:tcPr>
          <w:p>
            <w:pPr>
              <w:spacing w:after="0"/>
              <w:jc w:val="both"/>
              <w:rPr>
                <w:rFonts w:cstheme="minorHAnsi"/>
                <w:sz w:val="20"/>
                <w:szCs w:val="20"/>
              </w:rPr>
            </w:pPr>
            <w:r>
              <w:rPr>
                <w:rFonts w:cstheme="minorHAnsi"/>
                <w:sz w:val="20"/>
                <w:szCs w:val="20"/>
              </w:rPr>
              <w:t>12. Solare termico</w:t>
            </w:r>
          </w:p>
        </w:tc>
        <w:tc>
          <w:tcPr>
            <w:tcW w:w="5142" w:type="dxa"/>
            <w:tcMar>
              <w:top w:w="57" w:type="dxa"/>
              <w:bottom w:w="57" w:type="dxa"/>
            </w:tcMar>
            <w:vAlign w:val="center"/>
          </w:tcPr>
          <w:p>
            <w:pPr>
              <w:spacing w:after="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 spesa massima ammissibile è pari a euro 27.272,72 </w:t>
            </w:r>
          </w:p>
        </w:tc>
      </w:tr>
      <w:tr>
        <w:tc>
          <w:tcPr>
            <w:cnfStyle w:val="001000000000" w:firstRow="0" w:lastRow="0" w:firstColumn="1" w:lastColumn="0" w:oddVBand="0" w:evenVBand="0" w:oddHBand="0" w:evenHBand="0" w:firstRowFirstColumn="0" w:firstRowLastColumn="0" w:lastRowFirstColumn="0" w:lastRowLastColumn="0"/>
            <w:tcW w:w="9747" w:type="dxa"/>
            <w:gridSpan w:val="2"/>
            <w:tcMar>
              <w:top w:w="57" w:type="dxa"/>
              <w:bottom w:w="57" w:type="dxa"/>
            </w:tcMar>
            <w:vAlign w:val="center"/>
          </w:tcPr>
          <w:p>
            <w:pPr>
              <w:tabs>
                <w:tab w:val="left" w:pos="2397"/>
              </w:tabs>
              <w:spacing w:after="0"/>
              <w:jc w:val="both"/>
              <w:rPr>
                <w:rFonts w:cstheme="minorHAnsi"/>
                <w:sz w:val="20"/>
                <w:szCs w:val="20"/>
              </w:rPr>
            </w:pPr>
            <w:r>
              <w:rPr>
                <w:rFonts w:cstheme="minorHAnsi"/>
                <w:sz w:val="20"/>
                <w:szCs w:val="20"/>
              </w:rPr>
              <w:t>A tali limiti di spesa si aggiunge quella prevista nel caso di eventuale installazione di impianti fotovoltaici e relativi sistemi di accumulo nei limiti di spesa previsti dall’articolo 119, commi 5 e 6</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top w:w="57" w:type="dxa"/>
              <w:bottom w:w="57" w:type="dxa"/>
            </w:tcMar>
            <w:vAlign w:val="center"/>
          </w:tcPr>
          <w:p>
            <w:pPr>
              <w:spacing w:after="0"/>
              <w:jc w:val="both"/>
              <w:rPr>
                <w:rFonts w:cstheme="minorHAnsi"/>
                <w:sz w:val="20"/>
                <w:szCs w:val="20"/>
              </w:rPr>
            </w:pPr>
            <w:r>
              <w:rPr>
                <w:rFonts w:cstheme="minorHAnsi"/>
                <w:sz w:val="20"/>
                <w:szCs w:val="20"/>
              </w:rPr>
              <w:t>13. Infrastrutture per la ricarica di veicoli elettrici negli edifici unifamiliari</w:t>
            </w:r>
          </w:p>
        </w:tc>
        <w:tc>
          <w:tcPr>
            <w:tcW w:w="5142" w:type="dxa"/>
            <w:tcMar>
              <w:top w:w="57" w:type="dxa"/>
              <w:bottom w:w="57" w:type="dxa"/>
            </w:tcMar>
            <w:vAlign w:val="center"/>
          </w:tcPr>
          <w:p>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 spesa massima ammissibile è di euro 3.000 </w:t>
            </w:r>
          </w:p>
        </w:tc>
      </w:tr>
    </w:tbl>
    <w:p>
      <w:pPr>
        <w:jc w:val="both"/>
        <w:rPr>
          <w:rFonts w:cstheme="minorHAnsi"/>
          <w:sz w:val="20"/>
          <w:szCs w:val="20"/>
        </w:rPr>
      </w:pPr>
    </w:p>
    <w:sectPr>
      <w:headerReference w:type="default" r:id="rId8"/>
      <w:footerReference w:type="default" r:id="rId9"/>
      <w:headerReference w:type="first" r:id="rId10"/>
      <w:footerReference w:type="first" r:id="rId11"/>
      <w:pgSz w:w="11906" w:h="16838"/>
      <w:pgMar w:top="187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461387"/>
      <w:docPartObj>
        <w:docPartGallery w:val="Page Numbers (Bottom of Page)"/>
        <w:docPartUnique/>
      </w:docPartObj>
    </w:sdtPr>
    <w:sdtContent>
      <w:p>
        <w:pPr>
          <w:pStyle w:val="Pidipagina"/>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849393"/>
      <w:docPartObj>
        <w:docPartGallery w:val="Page Numbers (Bottom of Page)"/>
        <w:docPartUnique/>
      </w:docPartObj>
    </w:sdtPr>
    <w:sdtContent>
      <w:p>
        <w:pPr>
          <w:pStyle w:val="Pidipagina"/>
          <w:jc w:val="right"/>
        </w:pPr>
        <w:r>
          <w:fldChar w:fldCharType="begin"/>
        </w:r>
        <w:r>
          <w:instrText>PAGE   \* MERGEFORMAT</w:instrText>
        </w:r>
        <w:r>
          <w:fldChar w:fldCharType="separate"/>
        </w:r>
        <w:r>
          <w:rPr>
            <w:noProof/>
          </w:rPr>
          <w:t>1</w:t>
        </w:r>
        <w:r>
          <w:fldChar w:fldCharType="end"/>
        </w:r>
      </w:p>
    </w:sdtContent>
  </w:sdt>
  <w:p>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Testonotaapidipagina"/>
        <w:jc w:val="both"/>
        <w:rPr>
          <w:sz w:val="18"/>
          <w:szCs w:val="18"/>
        </w:rPr>
      </w:pPr>
      <w:r>
        <w:rPr>
          <w:rStyle w:val="Rimandonotaapidipagina"/>
          <w:sz w:val="18"/>
          <w:szCs w:val="18"/>
        </w:rPr>
        <w:footnoteRef/>
      </w:r>
      <w:r>
        <w:rPr>
          <w:sz w:val="18"/>
          <w:szCs w:val="18"/>
        </w:rPr>
        <w:t xml:space="preserve"> È possibile attestare la condizione di erede attraverso autocertificazione.</w:t>
      </w:r>
    </w:p>
  </w:footnote>
  <w:footnote w:id="2">
    <w:p>
      <w:pPr>
        <w:pStyle w:val="Testonotaapidipagina"/>
        <w:jc w:val="both"/>
        <w:rPr>
          <w:sz w:val="18"/>
          <w:szCs w:val="18"/>
        </w:rPr>
      </w:pPr>
      <w:r>
        <w:rPr>
          <w:rStyle w:val="Rimandonotaapidipagina"/>
          <w:sz w:val="18"/>
          <w:szCs w:val="18"/>
        </w:rPr>
        <w:footnoteRef/>
      </w:r>
      <w:r>
        <w:rPr>
          <w:sz w:val="18"/>
          <w:szCs w:val="18"/>
        </w:rPr>
        <w:t xml:space="preserve"> Dichiarazione sostitutiva dell’atto di notorietà resa ai sensi dell’articolo 47 del d.p.r. n. 445 del 2000.</w:t>
      </w:r>
    </w:p>
  </w:footnote>
  <w:footnote w:id="3">
    <w:p>
      <w:pPr>
        <w:pStyle w:val="Testonotaapidipagina"/>
        <w:jc w:val="both"/>
        <w:rPr>
          <w:sz w:val="18"/>
          <w:szCs w:val="18"/>
        </w:rPr>
      </w:pPr>
      <w:r>
        <w:rPr>
          <w:rStyle w:val="Rimandonotaapidipagina"/>
          <w:sz w:val="18"/>
          <w:szCs w:val="18"/>
        </w:rPr>
        <w:footnoteRef/>
      </w:r>
      <w:r>
        <w:rPr>
          <w:sz w:val="18"/>
          <w:szCs w:val="18"/>
        </w:rPr>
        <w:t xml:space="preserve"> Redatta secondo il modulo tipo di cui all’allegato 2 del Decreto del Ministero dello Sviluppo economico del 6 agosto 2020 (c.d. Decreto “Asseverazioni”), articolo 2, comma 7, lettera b).</w:t>
      </w:r>
    </w:p>
  </w:footnote>
  <w:footnote w:id="4">
    <w:p>
      <w:pPr>
        <w:pStyle w:val="Testonotaapidipagina"/>
        <w:jc w:val="both"/>
        <w:rPr>
          <w:sz w:val="18"/>
          <w:szCs w:val="18"/>
        </w:rPr>
      </w:pPr>
      <w:r>
        <w:rPr>
          <w:rStyle w:val="Rimandonotaapidipagina"/>
          <w:sz w:val="18"/>
          <w:szCs w:val="18"/>
        </w:rPr>
        <w:footnoteRef/>
      </w:r>
      <w:r>
        <w:rPr>
          <w:sz w:val="18"/>
          <w:szCs w:val="18"/>
        </w:rPr>
        <w:t xml:space="preserve"> Dichiarazione sostitutiva dell’atto di notorietà resa ai sensi dell’articolo 47 del d.p.r. n. 445 del 2000.</w:t>
      </w:r>
    </w:p>
  </w:footnote>
  <w:footnote w:id="5">
    <w:p>
      <w:pPr>
        <w:pStyle w:val="Testonotaapidipagina"/>
        <w:jc w:val="both"/>
        <w:rPr>
          <w:sz w:val="18"/>
          <w:szCs w:val="18"/>
        </w:rPr>
      </w:pPr>
      <w:r>
        <w:rPr>
          <w:rStyle w:val="Rimandonotaapidipagina"/>
          <w:sz w:val="18"/>
          <w:szCs w:val="18"/>
        </w:rPr>
        <w:footnoteRef/>
      </w:r>
      <w:r>
        <w:rPr>
          <w:sz w:val="18"/>
          <w:szCs w:val="18"/>
        </w:rPr>
        <w:t xml:space="preserve"> </w:t>
      </w:r>
      <w:r>
        <w:rPr>
          <w:spacing w:val="-6"/>
          <w:sz w:val="18"/>
          <w:szCs w:val="18"/>
        </w:rPr>
        <w:t>L’accettazione del fornitore è comprovata dal documento di spesa emesso dal fornitore dal quale deve risultare l’applicazione dello sconto</w:t>
      </w:r>
      <w:r>
        <w:rPr>
          <w:sz w:val="18"/>
          <w:szCs w:val="18"/>
        </w:rPr>
        <w:t>.</w:t>
      </w:r>
    </w:p>
  </w:footnote>
  <w:footnote w:id="6">
    <w:p>
      <w:pPr>
        <w:pStyle w:val="Testonotaapidipagina"/>
        <w:jc w:val="both"/>
        <w:rPr>
          <w:sz w:val="18"/>
          <w:szCs w:val="18"/>
        </w:rPr>
      </w:pPr>
      <w:r>
        <w:rPr>
          <w:rStyle w:val="Rimandonotaapidipagina"/>
          <w:sz w:val="18"/>
          <w:szCs w:val="18"/>
        </w:rPr>
        <w:footnoteRef/>
      </w:r>
      <w:r>
        <w:rPr>
          <w:sz w:val="18"/>
          <w:szCs w:val="18"/>
        </w:rPr>
        <w:t xml:space="preserve"> Allegati C e D del Decreto del Ministero dello Sviluppo economico del 6 agosto 2020 (c.d. Decreto “Requisiti”).</w:t>
      </w:r>
    </w:p>
  </w:footnote>
  <w:footnote w:id="7">
    <w:p>
      <w:pPr>
        <w:pStyle w:val="Testonotaapidipagina"/>
        <w:jc w:val="both"/>
        <w:rPr>
          <w:sz w:val="18"/>
          <w:szCs w:val="18"/>
        </w:rPr>
      </w:pPr>
      <w:r>
        <w:rPr>
          <w:rStyle w:val="Rimandonotaapidipagina"/>
          <w:sz w:val="18"/>
          <w:szCs w:val="18"/>
        </w:rPr>
        <w:footnoteRef/>
      </w:r>
      <w:r>
        <w:rPr>
          <w:sz w:val="18"/>
          <w:szCs w:val="18"/>
        </w:rPr>
        <w:t xml:space="preserve"> Redatta secondo il modulo tipo di cui all’allegato 1 del Decreto del Ministero dello Sviluppo economico del 6 agosto 2020 (c.d. Decreto “Asseverazioni”), articolo 2, comma 7, lettera a).</w:t>
      </w:r>
    </w:p>
  </w:footnote>
  <w:footnote w:id="8">
    <w:p>
      <w:pPr>
        <w:pStyle w:val="Testonotaapidipagina"/>
      </w:pPr>
      <w:r>
        <w:rPr>
          <w:rStyle w:val="Rimandonotaapidipagina"/>
          <w:sz w:val="18"/>
          <w:szCs w:val="18"/>
        </w:rPr>
        <w:footnoteRef/>
      </w:r>
      <w:r>
        <w:rPr>
          <w:sz w:val="18"/>
          <w:szCs w:val="18"/>
        </w:rPr>
        <w:t xml:space="preserve"> Vedi nota 5.</w:t>
      </w:r>
    </w:p>
  </w:footnote>
  <w:footnote w:id="9">
    <w:p>
      <w:pPr>
        <w:pStyle w:val="Testonotaapidipagina"/>
        <w:jc w:val="both"/>
        <w:rPr>
          <w:sz w:val="18"/>
          <w:szCs w:val="18"/>
        </w:rPr>
      </w:pPr>
      <w:r>
        <w:rPr>
          <w:rStyle w:val="Rimandonotaapidipagina"/>
          <w:sz w:val="18"/>
          <w:szCs w:val="18"/>
        </w:rPr>
        <w:footnoteRef/>
      </w:r>
      <w:r>
        <w:rPr>
          <w:sz w:val="18"/>
          <w:szCs w:val="18"/>
        </w:rPr>
        <w:t xml:space="preserve"> La sostituzione del generatore di calore è sufficiente per godere della detrazione al 110 per cento. Sono inoltre ammesse le spese relative all’adeguamento dei sistemi di distribuzione (tubi), emissione (sistemi scaldanti) e regolazione (sonde, termostati e valvole termostatiche).</w:t>
      </w:r>
    </w:p>
  </w:footnote>
  <w:footnote w:id="10">
    <w:p>
      <w:pPr>
        <w:pStyle w:val="Testonotaapidipagina"/>
        <w:jc w:val="both"/>
        <w:rPr>
          <w:sz w:val="18"/>
          <w:szCs w:val="18"/>
        </w:rPr>
      </w:pPr>
      <w:r>
        <w:rPr>
          <w:rStyle w:val="Rimandonotaapidipagina"/>
          <w:sz w:val="18"/>
          <w:szCs w:val="18"/>
        </w:rPr>
        <w:footnoteRef/>
      </w:r>
      <w:r>
        <w:rPr>
          <w:sz w:val="18"/>
          <w:szCs w:val="18"/>
        </w:rPr>
        <w:t xml:space="preserve"> La detrazione spetta, nel limite massimo di spesa previsto, anche per le spese relative allo smaltimento e alla bonifica dell'impianto sostituito nonché per la sostituzione della canna fumaria collettiva esistente, mediante sistemi fumari multipli o collettivi nuovi, compatibili con apparecchi a condensazione, con marcatura CE di cui al regolamento delegato (UE) 305/2011, nel rispetto dei requisiti minimi prestazionali previsti dalla norma UNI 7129-3.</w:t>
      </w:r>
    </w:p>
  </w:footnote>
  <w:footnote w:id="11">
    <w:p>
      <w:pPr>
        <w:pStyle w:val="Testonotaapidipagina"/>
        <w:jc w:val="both"/>
        <w:rPr>
          <w:sz w:val="18"/>
          <w:szCs w:val="18"/>
        </w:rPr>
      </w:pPr>
      <w:r>
        <w:rPr>
          <w:rStyle w:val="Rimandonotaapidipagina"/>
          <w:sz w:val="18"/>
          <w:szCs w:val="18"/>
        </w:rPr>
        <w:footnoteRef/>
      </w:r>
      <w:r>
        <w:rPr>
          <w:sz w:val="18"/>
          <w:szCs w:val="18"/>
        </w:rPr>
        <w:t xml:space="preserve"> Nel caso di installazione di impianti fotovoltaici e relativi sistemi di accumulo, il limite di spesa previsto per tale intervento (fino a euro 48.000) si aggiunge quello stabilito per la sostituzione degli impianti di climatizzazione invernale.</w:t>
      </w:r>
    </w:p>
  </w:footnote>
  <w:footnote w:id="12">
    <w:p>
      <w:pPr>
        <w:pStyle w:val="Testonotaapidipagina"/>
        <w:jc w:val="both"/>
        <w:rPr>
          <w:sz w:val="18"/>
          <w:szCs w:val="18"/>
        </w:rPr>
      </w:pPr>
      <w:r>
        <w:rPr>
          <w:rStyle w:val="Rimandonotaapidipagina"/>
          <w:sz w:val="18"/>
          <w:szCs w:val="18"/>
        </w:rPr>
        <w:footnoteRef/>
      </w:r>
      <w:r>
        <w:rPr>
          <w:sz w:val="18"/>
          <w:szCs w:val="18"/>
        </w:rPr>
        <w:t xml:space="preserve"> A tale limite di spesa si aggiunge quello previsto nel caso di eventuale installazione di impianti fotovoltaici e relativi sistemi di accumulo fino a euro 48.000.</w:t>
      </w:r>
    </w:p>
  </w:footnote>
  <w:footnote w:id="13">
    <w:p>
      <w:pPr>
        <w:pStyle w:val="Testonotaapidipagina"/>
        <w:jc w:val="both"/>
        <w:rPr>
          <w:sz w:val="18"/>
          <w:szCs w:val="18"/>
        </w:rPr>
      </w:pPr>
      <w:r>
        <w:rPr>
          <w:rStyle w:val="Rimandonotaapidipagina"/>
          <w:sz w:val="18"/>
          <w:szCs w:val="18"/>
        </w:rPr>
        <w:footnoteRef/>
      </w:r>
      <w:r>
        <w:rPr>
          <w:sz w:val="18"/>
          <w:szCs w:val="18"/>
        </w:rPr>
        <w:t xml:space="preserve"> Tale condizione si considera soddisfatta se “</w:t>
      </w:r>
      <w:r>
        <w:rPr>
          <w:i/>
          <w:iCs/>
          <w:sz w:val="18"/>
          <w:szCs w:val="18"/>
        </w:rPr>
        <w:t>le date delle spese sostenute per gli interventi trainati, sono ricomprese nell’intervallo di tempo individuato dalla data di inizio e dalla data di fine dei lavori per la realizzazione degli interventi trainanti</w:t>
      </w:r>
      <w:r>
        <w:rPr>
          <w:sz w:val="18"/>
          <w:szCs w:val="18"/>
        </w:rPr>
        <w:t>” (articolo 2, comma 5 del Decreto “Requisiti”).</w:t>
      </w:r>
    </w:p>
  </w:footnote>
  <w:footnote w:id="14">
    <w:p>
      <w:pPr>
        <w:pStyle w:val="Testonotaapidipagina"/>
        <w:jc w:val="both"/>
        <w:rPr>
          <w:sz w:val="18"/>
          <w:szCs w:val="18"/>
        </w:rPr>
      </w:pPr>
      <w:r>
        <w:rPr>
          <w:rStyle w:val="Rimandonotaapidipagina"/>
          <w:sz w:val="18"/>
          <w:szCs w:val="18"/>
        </w:rPr>
        <w:footnoteRef/>
      </w:r>
      <w:r>
        <w:rPr>
          <w:sz w:val="18"/>
          <w:szCs w:val="18"/>
        </w:rPr>
        <w:t xml:space="preserve"> L’elenco degli interventi agevolabili è contenuto nella Tabella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pPr>
    <w:r>
      <w:rPr>
        <w:noProof/>
        <w:lang w:eastAsia="it-IT"/>
      </w:rPr>
      <w:drawing>
        <wp:anchor distT="0" distB="0" distL="114300" distR="114300" simplePos="0" relativeHeight="251689984" behindDoc="0" locked="0" layoutInCell="1" allowOverlap="1">
          <wp:simplePos x="0" y="0"/>
          <wp:positionH relativeFrom="column">
            <wp:posOffset>4908550</wp:posOffset>
          </wp:positionH>
          <wp:positionV relativeFrom="paragraph">
            <wp:posOffset>57785</wp:posOffset>
          </wp:positionV>
          <wp:extent cx="1115695" cy="423545"/>
          <wp:effectExtent l="0" t="0" r="8255" b="0"/>
          <wp:wrapNone/>
          <wp:docPr id="1"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91008" behindDoc="0" locked="0" layoutInCell="1" allowOverlap="1">
          <wp:simplePos x="0" y="0"/>
          <wp:positionH relativeFrom="column">
            <wp:posOffset>295275</wp:posOffset>
          </wp:positionH>
          <wp:positionV relativeFrom="paragraph">
            <wp:posOffset>27940</wp:posOffset>
          </wp:positionV>
          <wp:extent cx="1835785" cy="495300"/>
          <wp:effectExtent l="0" t="0" r="0" b="0"/>
          <wp:wrapNone/>
          <wp:docPr id="2" name="Picture 5" descr="_assets/fnc-doc-assets-assets/logo-or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assets/fnc-doc-assets-assets/logo-ord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78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pPr>
    <w:r>
      <w:rPr>
        <w:noProof/>
        <w:lang w:eastAsia="it-IT"/>
      </w:rPr>
      <w:drawing>
        <wp:anchor distT="0" distB="0" distL="114300" distR="114300" simplePos="0" relativeHeight="251686912" behindDoc="0" locked="0" layoutInCell="1" allowOverlap="1">
          <wp:simplePos x="0" y="0"/>
          <wp:positionH relativeFrom="column">
            <wp:posOffset>4870450</wp:posOffset>
          </wp:positionH>
          <wp:positionV relativeFrom="paragraph">
            <wp:posOffset>29210</wp:posOffset>
          </wp:positionV>
          <wp:extent cx="1115695" cy="423545"/>
          <wp:effectExtent l="0" t="0" r="8255" b="0"/>
          <wp:wrapNone/>
          <wp:docPr id="3"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87936" behindDoc="0" locked="0" layoutInCell="1" allowOverlap="1">
          <wp:simplePos x="0" y="0"/>
          <wp:positionH relativeFrom="column">
            <wp:posOffset>257175</wp:posOffset>
          </wp:positionH>
          <wp:positionV relativeFrom="paragraph">
            <wp:posOffset>-635</wp:posOffset>
          </wp:positionV>
          <wp:extent cx="1835785" cy="495300"/>
          <wp:effectExtent l="0" t="0" r="0" b="0"/>
          <wp:wrapNone/>
          <wp:docPr id="7" name="Picture 5" descr="_assets/fnc-doc-assets-assets/logo-or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assets/fnc-doc-assets-assets/logo-ord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78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15A"/>
    <w:multiLevelType w:val="hybridMultilevel"/>
    <w:tmpl w:val="710C3882"/>
    <w:lvl w:ilvl="0" w:tplc="2A66DE78">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03CA19E6"/>
    <w:multiLevelType w:val="hybridMultilevel"/>
    <w:tmpl w:val="9C747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0B2C15"/>
    <w:multiLevelType w:val="hybridMultilevel"/>
    <w:tmpl w:val="C6B2563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857693"/>
    <w:multiLevelType w:val="hybridMultilevel"/>
    <w:tmpl w:val="77240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B504B0"/>
    <w:multiLevelType w:val="hybridMultilevel"/>
    <w:tmpl w:val="EA4CE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62C5C"/>
    <w:multiLevelType w:val="hybridMultilevel"/>
    <w:tmpl w:val="5306A088"/>
    <w:lvl w:ilvl="0" w:tplc="04100009">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C62259"/>
    <w:multiLevelType w:val="hybridMultilevel"/>
    <w:tmpl w:val="BD68DB1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A77ACB"/>
    <w:multiLevelType w:val="hybridMultilevel"/>
    <w:tmpl w:val="EC8097A4"/>
    <w:lvl w:ilvl="0" w:tplc="0008B148">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0B541E"/>
    <w:multiLevelType w:val="hybridMultilevel"/>
    <w:tmpl w:val="712E6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1F3962"/>
    <w:multiLevelType w:val="hybridMultilevel"/>
    <w:tmpl w:val="754072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5D7A1D"/>
    <w:multiLevelType w:val="hybridMultilevel"/>
    <w:tmpl w:val="FA7AA3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E33FAF"/>
    <w:multiLevelType w:val="hybridMultilevel"/>
    <w:tmpl w:val="9980485A"/>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E4501C"/>
    <w:multiLevelType w:val="hybridMultilevel"/>
    <w:tmpl w:val="ED208E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8D5D93"/>
    <w:multiLevelType w:val="hybridMultilevel"/>
    <w:tmpl w:val="26563F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7C07C5"/>
    <w:multiLevelType w:val="hybridMultilevel"/>
    <w:tmpl w:val="73AE4B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A067E6"/>
    <w:multiLevelType w:val="hybridMultilevel"/>
    <w:tmpl w:val="6ABC13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EB2EBE"/>
    <w:multiLevelType w:val="hybridMultilevel"/>
    <w:tmpl w:val="75A6CBEA"/>
    <w:lvl w:ilvl="0" w:tplc="7DF24CB0">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6931D2"/>
    <w:multiLevelType w:val="hybridMultilevel"/>
    <w:tmpl w:val="03E0FD8C"/>
    <w:lvl w:ilvl="0" w:tplc="72D8217A">
      <w:start w:val="1"/>
      <w:numFmt w:val="bullet"/>
      <w:lvlText w:val=""/>
      <w:lvlJc w:val="left"/>
      <w:pPr>
        <w:ind w:left="644" w:hanging="360"/>
      </w:pPr>
      <w:rPr>
        <w:rFonts w:ascii="Symbol" w:hAnsi="Symbol" w:hint="default"/>
        <w:sz w:val="20"/>
        <w:szCs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DDC6687"/>
    <w:multiLevelType w:val="hybridMultilevel"/>
    <w:tmpl w:val="3294B6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0A357E"/>
    <w:multiLevelType w:val="hybridMultilevel"/>
    <w:tmpl w:val="E4BA5C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574278"/>
    <w:multiLevelType w:val="hybridMultilevel"/>
    <w:tmpl w:val="670EFD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6A3120"/>
    <w:multiLevelType w:val="hybridMultilevel"/>
    <w:tmpl w:val="F154C972"/>
    <w:lvl w:ilvl="0" w:tplc="A0A43962">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06751D"/>
    <w:multiLevelType w:val="hybridMultilevel"/>
    <w:tmpl w:val="FBC0A1FE"/>
    <w:lvl w:ilvl="0" w:tplc="02B64088">
      <w:start w:val="1"/>
      <w:numFmt w:val="bullet"/>
      <w:lvlText w:val=""/>
      <w:lvlJc w:val="left"/>
      <w:pPr>
        <w:ind w:left="720" w:hanging="360"/>
      </w:pPr>
      <w:rPr>
        <w:rFonts w:ascii="Symbol" w:hAnsi="Symbol"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C67B17"/>
    <w:multiLevelType w:val="hybridMultilevel"/>
    <w:tmpl w:val="EFEA7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D369E3"/>
    <w:multiLevelType w:val="hybridMultilevel"/>
    <w:tmpl w:val="06C4104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1334F4"/>
    <w:multiLevelType w:val="hybridMultilevel"/>
    <w:tmpl w:val="4D8A1A2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2D5479"/>
    <w:multiLevelType w:val="hybridMultilevel"/>
    <w:tmpl w:val="EEF82C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884A3D"/>
    <w:multiLevelType w:val="hybridMultilevel"/>
    <w:tmpl w:val="B0CE57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8D7A04"/>
    <w:multiLevelType w:val="hybridMultilevel"/>
    <w:tmpl w:val="8A36B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A75316"/>
    <w:multiLevelType w:val="hybridMultilevel"/>
    <w:tmpl w:val="4F609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15591A"/>
    <w:multiLevelType w:val="hybridMultilevel"/>
    <w:tmpl w:val="2C507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E141D5"/>
    <w:multiLevelType w:val="hybridMultilevel"/>
    <w:tmpl w:val="A420C718"/>
    <w:lvl w:ilvl="0" w:tplc="04100003">
      <w:start w:val="1"/>
      <w:numFmt w:val="bullet"/>
      <w:lvlText w:val="o"/>
      <w:lvlJc w:val="left"/>
      <w:pPr>
        <w:ind w:left="1077" w:hanging="360"/>
      </w:pPr>
      <w:rPr>
        <w:rFonts w:ascii="Courier New" w:hAnsi="Courier New" w:cs="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2" w15:restartNumberingAfterBreak="0">
    <w:nsid w:val="57FC1DD4"/>
    <w:multiLevelType w:val="hybridMultilevel"/>
    <w:tmpl w:val="EF1A5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CC1080"/>
    <w:multiLevelType w:val="hybridMultilevel"/>
    <w:tmpl w:val="8012A8A8"/>
    <w:lvl w:ilvl="0" w:tplc="04100001">
      <w:start w:val="1"/>
      <w:numFmt w:val="bullet"/>
      <w:lvlText w:val=""/>
      <w:lvlJc w:val="left"/>
      <w:pPr>
        <w:ind w:left="720" w:hanging="360"/>
      </w:pPr>
      <w:rPr>
        <w:rFonts w:ascii="Symbol" w:hAnsi="Symbol" w:hint="default"/>
      </w:rPr>
    </w:lvl>
    <w:lvl w:ilvl="1" w:tplc="2A66DE7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FE0F67"/>
    <w:multiLevelType w:val="hybridMultilevel"/>
    <w:tmpl w:val="BC8254E2"/>
    <w:lvl w:ilvl="0" w:tplc="2A66DE7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19B3D17"/>
    <w:multiLevelType w:val="hybridMultilevel"/>
    <w:tmpl w:val="96ACC922"/>
    <w:lvl w:ilvl="0" w:tplc="04100003">
      <w:start w:val="1"/>
      <w:numFmt w:val="bullet"/>
      <w:lvlText w:val="o"/>
      <w:lvlJc w:val="left"/>
      <w:pPr>
        <w:ind w:left="720" w:hanging="360"/>
      </w:pPr>
      <w:rPr>
        <w:rFonts w:ascii="Courier New" w:hAnsi="Courier New" w:cs="Courier New"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3A4AEB"/>
    <w:multiLevelType w:val="hybridMultilevel"/>
    <w:tmpl w:val="A42A801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6C3979"/>
    <w:multiLevelType w:val="hybridMultilevel"/>
    <w:tmpl w:val="3D52F0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E40D2D"/>
    <w:multiLevelType w:val="hybridMultilevel"/>
    <w:tmpl w:val="5C30F17E"/>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4A4FEE"/>
    <w:multiLevelType w:val="hybridMultilevel"/>
    <w:tmpl w:val="64847DB2"/>
    <w:lvl w:ilvl="0" w:tplc="04100001">
      <w:start w:val="1"/>
      <w:numFmt w:val="bullet"/>
      <w:lvlText w:val=""/>
      <w:lvlJc w:val="left"/>
      <w:pPr>
        <w:ind w:left="720" w:hanging="360"/>
      </w:pPr>
      <w:rPr>
        <w:rFonts w:ascii="Symbol" w:hAnsi="Symbol"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E8E51D3"/>
    <w:multiLevelType w:val="hybridMultilevel"/>
    <w:tmpl w:val="179AD798"/>
    <w:lvl w:ilvl="0" w:tplc="A0C43056">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1E762D"/>
    <w:multiLevelType w:val="hybridMultilevel"/>
    <w:tmpl w:val="CF64A7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28"/>
  </w:num>
  <w:num w:numId="5">
    <w:abstractNumId w:val="32"/>
  </w:num>
  <w:num w:numId="6">
    <w:abstractNumId w:val="14"/>
  </w:num>
  <w:num w:numId="7">
    <w:abstractNumId w:val="34"/>
  </w:num>
  <w:num w:numId="8">
    <w:abstractNumId w:val="7"/>
  </w:num>
  <w:num w:numId="9">
    <w:abstractNumId w:val="29"/>
  </w:num>
  <w:num w:numId="10">
    <w:abstractNumId w:val="33"/>
  </w:num>
  <w:num w:numId="11">
    <w:abstractNumId w:val="3"/>
  </w:num>
  <w:num w:numId="12">
    <w:abstractNumId w:val="22"/>
  </w:num>
  <w:num w:numId="13">
    <w:abstractNumId w:val="21"/>
  </w:num>
  <w:num w:numId="14">
    <w:abstractNumId w:val="23"/>
  </w:num>
  <w:num w:numId="15">
    <w:abstractNumId w:val="18"/>
  </w:num>
  <w:num w:numId="16">
    <w:abstractNumId w:val="39"/>
  </w:num>
  <w:num w:numId="17">
    <w:abstractNumId w:val="9"/>
  </w:num>
  <w:num w:numId="18">
    <w:abstractNumId w:val="30"/>
  </w:num>
  <w:num w:numId="19">
    <w:abstractNumId w:val="16"/>
  </w:num>
  <w:num w:numId="20">
    <w:abstractNumId w:val="17"/>
  </w:num>
  <w:num w:numId="21">
    <w:abstractNumId w:val="40"/>
  </w:num>
  <w:num w:numId="22">
    <w:abstractNumId w:val="31"/>
  </w:num>
  <w:num w:numId="23">
    <w:abstractNumId w:val="27"/>
  </w:num>
  <w:num w:numId="24">
    <w:abstractNumId w:val="13"/>
  </w:num>
  <w:num w:numId="25">
    <w:abstractNumId w:val="11"/>
  </w:num>
  <w:num w:numId="26">
    <w:abstractNumId w:val="6"/>
  </w:num>
  <w:num w:numId="27">
    <w:abstractNumId w:val="0"/>
  </w:num>
  <w:num w:numId="28">
    <w:abstractNumId w:val="36"/>
  </w:num>
  <w:num w:numId="29">
    <w:abstractNumId w:val="35"/>
  </w:num>
  <w:num w:numId="30">
    <w:abstractNumId w:val="15"/>
  </w:num>
  <w:num w:numId="31">
    <w:abstractNumId w:val="8"/>
  </w:num>
  <w:num w:numId="32">
    <w:abstractNumId w:val="19"/>
  </w:num>
  <w:num w:numId="33">
    <w:abstractNumId w:val="37"/>
  </w:num>
  <w:num w:numId="34">
    <w:abstractNumId w:val="12"/>
  </w:num>
  <w:num w:numId="35">
    <w:abstractNumId w:val="2"/>
  </w:num>
  <w:num w:numId="36">
    <w:abstractNumId w:val="26"/>
  </w:num>
  <w:num w:numId="37">
    <w:abstractNumId w:val="41"/>
  </w:num>
  <w:num w:numId="38">
    <w:abstractNumId w:val="38"/>
  </w:num>
  <w:num w:numId="39">
    <w:abstractNumId w:val="1"/>
  </w:num>
  <w:num w:numId="40">
    <w:abstractNumId w:val="24"/>
  </w:num>
  <w:num w:numId="41">
    <w:abstractNumId w:val="2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2176DA7-CDF6-4F17-90AA-1A74200E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paragraph" w:styleId="Titolo1">
    <w:name w:val="heading 1"/>
    <w:basedOn w:val="Normale"/>
    <w:next w:val="Normale"/>
    <w:link w:val="Titolo1Carattere"/>
    <w:uiPriority w:val="9"/>
    <w:qFormat/>
    <w:pPr>
      <w:keepNext/>
      <w:keepLines/>
      <w:spacing w:before="120" w:after="120"/>
      <w:ind w:left="851" w:right="851"/>
      <w:jc w:val="center"/>
      <w:outlineLvl w:val="0"/>
    </w:pPr>
    <w:rPr>
      <w:rFonts w:ascii="Calibri" w:eastAsiaTheme="majorEastAsia" w:hAnsi="Calibri" w:cstheme="majorBidi"/>
      <w:b/>
      <w:sz w:val="28"/>
      <w:szCs w:val="32"/>
    </w:rPr>
  </w:style>
  <w:style w:type="paragraph" w:styleId="Titolo2">
    <w:name w:val="heading 2"/>
    <w:basedOn w:val="Normale"/>
    <w:next w:val="Normale"/>
    <w:link w:val="Titolo2Carattere"/>
    <w:uiPriority w:val="9"/>
    <w:semiHidden/>
    <w:unhideWhenUsed/>
    <w:qFormat/>
    <w:pPr>
      <w:keepNext/>
      <w:keepLines/>
      <w:spacing w:before="40" w:after="0"/>
      <w:outlineLvl w:val="1"/>
    </w:pPr>
    <w:rPr>
      <w:rFonts w:ascii="Calibri" w:eastAsiaTheme="majorEastAsia" w:hAnsi="Calibri"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Elencochiaro-Colore1">
    <w:name w:val="Light List Accent 1"/>
    <w:basedOn w:val="Tabellanormale"/>
    <w:uiPriority w:val="6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aragrafoelenco">
    <w:name w:val="List Paragraph"/>
    <w:basedOn w:val="Normale"/>
    <w:uiPriority w:val="34"/>
    <w:qFormat/>
    <w:pPr>
      <w:ind w:left="720"/>
      <w:contextualSpacing/>
    </w:pPr>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table" w:styleId="Elencochiaro-Colore3">
    <w:name w:val="Light List Accent 3"/>
    <w:basedOn w:val="Tabellanormale"/>
    <w:uiPriority w:val="6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2">
    <w:name w:val="Light List Accent 2"/>
    <w:basedOn w:val="Tabellanormale"/>
    <w:uiPriority w:val="6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table" w:customStyle="1" w:styleId="Elencochiaro-Colore11">
    <w:name w:val="Elenco chiaro - Colore 11"/>
    <w:basedOn w:val="Tabellanormale"/>
    <w:next w:val="Elencochiaro-Colore1"/>
    <w:uiPriority w:val="6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autoRedefine/>
    <w:uiPriority w:val="10"/>
    <w:qFormat/>
    <w:pPr>
      <w:keepNext/>
      <w:spacing w:after="0" w:line="264" w:lineRule="auto"/>
    </w:pPr>
    <w:rPr>
      <w:rFonts w:ascii="Garamond" w:eastAsia="Calibri" w:hAnsi="Garamond" w:cs="Times New Roman"/>
      <w:b/>
      <w:bCs/>
      <w:smallCaps/>
      <w:spacing w:val="-10"/>
      <w:sz w:val="52"/>
      <w:szCs w:val="52"/>
    </w:rPr>
  </w:style>
  <w:style w:type="character" w:customStyle="1" w:styleId="TitoloCarattere">
    <w:name w:val="Titolo Carattere"/>
    <w:basedOn w:val="Carpredefinitoparagrafo"/>
    <w:link w:val="Titolo"/>
    <w:uiPriority w:val="10"/>
    <w:rPr>
      <w:rFonts w:ascii="Garamond" w:eastAsia="Calibri" w:hAnsi="Garamond" w:cs="Times New Roman"/>
      <w:b/>
      <w:bCs/>
      <w:smallCaps/>
      <w:spacing w:val="-10"/>
      <w:sz w:val="52"/>
      <w:szCs w:val="52"/>
    </w:rPr>
  </w:style>
  <w:style w:type="paragraph" w:customStyle="1" w:styleId="Categoria">
    <w:name w:val="Categoria"/>
    <w:basedOn w:val="Normale"/>
    <w:qFormat/>
    <w:pPr>
      <w:spacing w:before="240" w:after="0" w:line="240" w:lineRule="auto"/>
    </w:pPr>
    <w:rPr>
      <w:b/>
      <w:bCs/>
      <w:caps/>
      <w:sz w:val="20"/>
      <w:szCs w:val="20"/>
      <w:lang w:val="en-GB"/>
    </w:rPr>
  </w:style>
  <w:style w:type="paragraph" w:customStyle="1" w:styleId="Data1">
    <w:name w:val="Data1"/>
    <w:basedOn w:val="Categoria"/>
    <w:qFormat/>
    <w:rPr>
      <w:caps w:val="0"/>
    </w:rPr>
  </w:style>
  <w:style w:type="character" w:styleId="Enfasicorsivo">
    <w:name w:val="Emphasis"/>
    <w:basedOn w:val="Carpredefinitoparagrafo"/>
    <w:uiPriority w:val="20"/>
    <w:qFormat/>
    <w:rPr>
      <w:i/>
      <w:iCs/>
    </w:rPr>
  </w:style>
  <w:style w:type="character" w:styleId="Collegamentoipertestuale">
    <w:name w:val="Hyperlink"/>
    <w:basedOn w:val="Carpredefinitoparagrafo"/>
    <w:uiPriority w:val="99"/>
    <w:unhideWhenUsed/>
    <w:rPr>
      <w:color w:val="0563C1" w:themeColor="hyperlink"/>
      <w:u w:val="single"/>
    </w:rPr>
  </w:style>
  <w:style w:type="character" w:customStyle="1" w:styleId="Titolo1Carattere">
    <w:name w:val="Titolo 1 Carattere"/>
    <w:basedOn w:val="Carpredefinitoparagrafo"/>
    <w:link w:val="Titolo1"/>
    <w:uiPriority w:val="9"/>
    <w:rPr>
      <w:rFonts w:ascii="Calibri" w:eastAsiaTheme="majorEastAsia" w:hAnsi="Calibri" w:cstheme="majorBidi"/>
      <w:b/>
      <w:sz w:val="28"/>
      <w:szCs w:val="32"/>
    </w:rPr>
  </w:style>
  <w:style w:type="paragraph" w:styleId="Sommario1">
    <w:name w:val="toc 1"/>
    <w:basedOn w:val="Normale"/>
    <w:next w:val="Normale"/>
    <w:autoRedefine/>
    <w:uiPriority w:val="39"/>
    <w:unhideWhenUsed/>
    <w:pPr>
      <w:tabs>
        <w:tab w:val="right" w:leader="dot" w:pos="9060"/>
      </w:tabs>
      <w:spacing w:after="100"/>
    </w:pPr>
  </w:style>
  <w:style w:type="paragraph" w:styleId="Sommario3">
    <w:name w:val="toc 3"/>
    <w:basedOn w:val="Normale"/>
    <w:next w:val="Normale"/>
    <w:autoRedefine/>
    <w:uiPriority w:val="39"/>
    <w:unhideWhenUsed/>
    <w:pPr>
      <w:spacing w:after="100"/>
      <w:ind w:left="440"/>
    </w:pPr>
  </w:style>
  <w:style w:type="paragraph" w:styleId="Nessunaspaziatura">
    <w:name w:val="No Spacing"/>
    <w:uiPriority w:val="1"/>
    <w:qFormat/>
    <w:pPr>
      <w:spacing w:after="0" w:line="240" w:lineRule="auto"/>
    </w:pPr>
  </w:style>
  <w:style w:type="character" w:customStyle="1" w:styleId="Titolo2Carattere">
    <w:name w:val="Titolo 2 Carattere"/>
    <w:basedOn w:val="Carpredefinitoparagrafo"/>
    <w:link w:val="Titolo2"/>
    <w:uiPriority w:val="9"/>
    <w:semiHidden/>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7781-CD29-40E3-B2B2-AC1AA557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2770</Words>
  <Characters>15789</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Gianpaolo Valente</dc:creator>
  <cp:keywords/>
  <dc:description/>
  <cp:lastModifiedBy>Antonello Di Meo</cp:lastModifiedBy>
  <cp:revision>2</cp:revision>
  <cp:lastPrinted>2020-10-21T15:05:00Z</cp:lastPrinted>
  <dcterms:created xsi:type="dcterms:W3CDTF">2020-10-26T21:39:00Z</dcterms:created>
  <dcterms:modified xsi:type="dcterms:W3CDTF">2020-10-26T21:39:00Z</dcterms:modified>
</cp:coreProperties>
</file>